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49A95" w14:textId="54E6335C" w:rsidR="00397389" w:rsidRDefault="00397389" w:rsidP="003973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r>
        <w:rPr>
          <w:b/>
          <w:noProof/>
          <w:sz w:val="24"/>
        </w:rPr>
        <w:t>3GPP TSG-RAN WG4 Meeting #92</w:t>
      </w:r>
      <w:r>
        <w:rPr>
          <w:b/>
          <w:i/>
          <w:noProof/>
          <w:sz w:val="28"/>
        </w:rPr>
        <w:tab/>
        <w:t>R4-</w:t>
      </w:r>
      <w:r w:rsidR="00403226" w:rsidRPr="00403226">
        <w:rPr>
          <w:b/>
          <w:i/>
          <w:noProof/>
          <w:sz w:val="28"/>
        </w:rPr>
        <w:t>1908453</w:t>
      </w:r>
    </w:p>
    <w:p w14:paraId="513B1481" w14:textId="77777777" w:rsidR="00397389" w:rsidRDefault="00397389" w:rsidP="003973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Ljubljana, Slovenia, 26 – 30 August 2019</w:t>
      </w:r>
    </w:p>
    <w:bookmarkEnd w:id="0"/>
    <w:p w14:paraId="43B8EC8A" w14:textId="77777777" w:rsidR="00E25574" w:rsidRPr="00EF0BC3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28574B77" w14:textId="77777777" w:rsidR="00FD2D4A" w:rsidRPr="0074776E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Source:</w:t>
      </w:r>
      <w:r w:rsidRPr="0074776E">
        <w:rPr>
          <w:rFonts w:ascii="Arial" w:hAnsi="Arial" w:cs="Arial"/>
          <w:b/>
          <w:lang w:val="en-US"/>
        </w:rPr>
        <w:tab/>
      </w:r>
      <w:r w:rsidRPr="00FF3119">
        <w:rPr>
          <w:rFonts w:ascii="Arial" w:hAnsi="Arial" w:cs="Arial"/>
          <w:bCs/>
          <w:lang w:val="en-US"/>
        </w:rPr>
        <w:t>Ericsson</w:t>
      </w:r>
    </w:p>
    <w:p w14:paraId="37F6EC32" w14:textId="7A369EAA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Title:</w:t>
      </w:r>
      <w:r w:rsidRPr="005E70DF">
        <w:rPr>
          <w:rFonts w:ascii="Arial" w:hAnsi="Arial" w:cs="Arial"/>
          <w:lang w:val="en-US"/>
        </w:rPr>
        <w:tab/>
      </w:r>
      <w:r w:rsidR="00CA17CD" w:rsidRPr="00CA17CD">
        <w:rPr>
          <w:rFonts w:ascii="Arial" w:hAnsi="Arial" w:cs="Arial"/>
          <w:lang w:val="en-US"/>
        </w:rPr>
        <w:t xml:space="preserve">Spurious emission regulation </w:t>
      </w:r>
      <w:r w:rsidR="002450A1">
        <w:rPr>
          <w:rFonts w:ascii="Arial" w:hAnsi="Arial" w:cs="Arial"/>
          <w:lang w:val="en-US"/>
        </w:rPr>
        <w:t>for B</w:t>
      </w:r>
      <w:r w:rsidR="00924147">
        <w:rPr>
          <w:rFonts w:ascii="Arial" w:hAnsi="Arial" w:cs="Arial"/>
          <w:lang w:val="en-US"/>
        </w:rPr>
        <w:t>ase Stations</w:t>
      </w:r>
      <w:r w:rsidR="002450A1">
        <w:rPr>
          <w:rFonts w:ascii="Arial" w:hAnsi="Arial" w:cs="Arial"/>
          <w:lang w:val="en-US"/>
        </w:rPr>
        <w:t xml:space="preserve"> </w:t>
      </w:r>
      <w:r w:rsidR="00CA17CD" w:rsidRPr="00CA17CD">
        <w:rPr>
          <w:rFonts w:ascii="Arial" w:hAnsi="Arial" w:cs="Arial"/>
          <w:lang w:val="en-US"/>
        </w:rPr>
        <w:t>in 7-24 GHz</w:t>
      </w:r>
    </w:p>
    <w:p w14:paraId="16D01D72" w14:textId="31493C3E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Agenda item:</w:t>
      </w:r>
      <w:r w:rsidRPr="00AB1CBA">
        <w:rPr>
          <w:rFonts w:ascii="Arial" w:hAnsi="Arial" w:cs="Arial"/>
          <w:lang w:val="en-US"/>
        </w:rPr>
        <w:tab/>
      </w:r>
      <w:r w:rsidR="009C35E9">
        <w:rPr>
          <w:rFonts w:ascii="Arial" w:hAnsi="Arial" w:cs="Arial"/>
          <w:lang w:val="en-US"/>
        </w:rPr>
        <w:t>11.4.2</w:t>
      </w:r>
    </w:p>
    <w:p w14:paraId="49066BBD" w14:textId="37FFC35A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Document for:</w:t>
      </w:r>
      <w:r w:rsidRPr="0074776E">
        <w:rPr>
          <w:rFonts w:ascii="Arial" w:hAnsi="Arial" w:cs="Arial"/>
          <w:b/>
          <w:lang w:val="en-US"/>
        </w:rPr>
        <w:tab/>
      </w:r>
      <w:r w:rsidR="00A1618C">
        <w:rPr>
          <w:rFonts w:ascii="Arial" w:hAnsi="Arial" w:cs="Arial"/>
          <w:bCs/>
          <w:lang w:val="en-US"/>
        </w:rPr>
        <w:t>Approval</w:t>
      </w:r>
    </w:p>
    <w:p w14:paraId="16601CE3" w14:textId="77777777" w:rsidR="002B6B5E" w:rsidRPr="009177A5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177A5" w:rsidRDefault="00DB56A2">
      <w:pPr>
        <w:rPr>
          <w:rFonts w:ascii="Arial" w:hAnsi="Arial" w:cs="Arial"/>
          <w:lang w:val="en-US"/>
        </w:rPr>
      </w:pPr>
    </w:p>
    <w:p w14:paraId="540B0B02" w14:textId="77777777" w:rsidR="00D466E4" w:rsidRDefault="00D2274A" w:rsidP="00D466E4">
      <w:pPr>
        <w:pStyle w:val="Heading1"/>
        <w:rPr>
          <w:lang w:val="en-US"/>
        </w:rPr>
      </w:pPr>
      <w:r>
        <w:rPr>
          <w:lang w:val="en-US"/>
        </w:rPr>
        <w:t>Background</w:t>
      </w:r>
      <w:r w:rsidR="00D466E4" w:rsidRPr="009177A5">
        <w:rPr>
          <w:lang w:val="en-US"/>
        </w:rPr>
        <w:t xml:space="preserve"> </w:t>
      </w:r>
    </w:p>
    <w:p w14:paraId="46B22425" w14:textId="199E01EF" w:rsidR="008143CD" w:rsidRDefault="00CB2B9F" w:rsidP="008143CD">
      <w:pPr>
        <w:pStyle w:val="BodyText"/>
        <w:rPr>
          <w:lang w:val="en-US"/>
        </w:rPr>
      </w:pPr>
      <w:r>
        <w:rPr>
          <w:lang w:val="en-US"/>
        </w:rPr>
        <w:t>In the</w:t>
      </w:r>
      <w:r w:rsidR="00404A66">
        <w:rPr>
          <w:lang w:val="en-US"/>
        </w:rPr>
        <w:t xml:space="preserve"> </w:t>
      </w:r>
      <w:r w:rsidRPr="00CB2B9F">
        <w:rPr>
          <w:lang w:val="en-US"/>
        </w:rPr>
        <w:t>Study on 7-24</w:t>
      </w:r>
      <w:r>
        <w:rPr>
          <w:lang w:val="en-US"/>
        </w:rPr>
        <w:t xml:space="preserve"> </w:t>
      </w:r>
      <w:r w:rsidRPr="00CB2B9F">
        <w:rPr>
          <w:lang w:val="en-US"/>
        </w:rPr>
        <w:t>GHz frequency range</w:t>
      </w:r>
      <w:r>
        <w:rPr>
          <w:lang w:val="en-US"/>
        </w:rPr>
        <w:t>,</w:t>
      </w:r>
      <w:r w:rsidR="00404A66">
        <w:rPr>
          <w:lang w:val="en-US"/>
        </w:rPr>
        <w:t xml:space="preserve"> </w:t>
      </w:r>
      <w:r>
        <w:rPr>
          <w:lang w:val="en-US"/>
        </w:rPr>
        <w:t>spectrum regulation for specific frequency ranges is outside the</w:t>
      </w:r>
      <w:r w:rsidR="00924147">
        <w:rPr>
          <w:lang w:val="en-US"/>
        </w:rPr>
        <w:t xml:space="preserve"> scope of the</w:t>
      </w:r>
      <w:r>
        <w:rPr>
          <w:lang w:val="en-US"/>
        </w:rPr>
        <w:t xml:space="preserve"> work item. It is however of interest to look at the more generic regulation of unwanted emissions, which is a fundamental aspect for defining RF requirements. This paper looks at such regulation globally and regionally, for the freqeuncy range 7</w:t>
      </w:r>
      <w:r w:rsidR="00AE166A">
        <w:rPr>
          <w:lang w:val="en-US"/>
        </w:rPr>
        <w:noBreakHyphen/>
      </w:r>
      <w:r>
        <w:rPr>
          <w:lang w:val="en-US"/>
        </w:rPr>
        <w:t>24 GHz</w:t>
      </w:r>
    </w:p>
    <w:p w14:paraId="3B216E31" w14:textId="77777777" w:rsidR="00D2274A" w:rsidRDefault="009B27AA" w:rsidP="00B445A4">
      <w:pPr>
        <w:pStyle w:val="Heading1"/>
        <w:rPr>
          <w:lang w:val="en-US"/>
        </w:rPr>
      </w:pPr>
      <w:r>
        <w:rPr>
          <w:lang w:val="en-US"/>
        </w:rPr>
        <w:t>Discussion</w:t>
      </w:r>
      <w:r w:rsidR="00551262">
        <w:rPr>
          <w:lang w:val="en-US"/>
        </w:rPr>
        <w:t xml:space="preserve"> </w:t>
      </w:r>
    </w:p>
    <w:p w14:paraId="0C8D23F9" w14:textId="38CFA2F3" w:rsidR="00B445A4" w:rsidRDefault="00CA17CD" w:rsidP="00174101">
      <w:pPr>
        <w:pStyle w:val="Heading2"/>
        <w:rPr>
          <w:lang w:val="en-US"/>
        </w:rPr>
      </w:pPr>
      <w:r>
        <w:rPr>
          <w:lang w:val="en-US"/>
        </w:rPr>
        <w:t>ITU-R recommendations</w:t>
      </w:r>
    </w:p>
    <w:p w14:paraId="5C342F02" w14:textId="2727DDC7" w:rsidR="00B35F9C" w:rsidRDefault="00202A5A" w:rsidP="00CA17CD">
      <w:pPr>
        <w:pStyle w:val="BodyText"/>
        <w:rPr>
          <w:lang w:val="en-US"/>
        </w:rPr>
      </w:pPr>
      <w:r>
        <w:rPr>
          <w:lang w:val="en-US"/>
        </w:rPr>
        <w:t>S</w:t>
      </w:r>
      <w:r w:rsidR="00E64A60">
        <w:rPr>
          <w:lang w:val="en-US"/>
        </w:rPr>
        <w:t xml:space="preserve">purious emission is regulated through the </w:t>
      </w:r>
      <w:r w:rsidR="008603A7">
        <w:rPr>
          <w:lang w:val="en-US"/>
        </w:rPr>
        <w:t xml:space="preserve">international </w:t>
      </w:r>
      <w:r w:rsidR="00BD3C25">
        <w:rPr>
          <w:lang w:val="en-US"/>
        </w:rPr>
        <w:t xml:space="preserve">Recommendation </w:t>
      </w:r>
      <w:r w:rsidR="00E64A60">
        <w:rPr>
          <w:lang w:val="en-US"/>
        </w:rPr>
        <w:t xml:space="preserve">ITU-R </w:t>
      </w:r>
      <w:r w:rsidR="008755EB">
        <w:rPr>
          <w:lang w:val="en-US"/>
        </w:rPr>
        <w:t>SM.329</w:t>
      </w:r>
      <w:r w:rsidR="00E64A60">
        <w:rPr>
          <w:lang w:val="en-US"/>
        </w:rPr>
        <w:t xml:space="preserve"> [1], which is used as a reference in 3GPP specifications. </w:t>
      </w:r>
      <w:r w:rsidR="00A93D93">
        <w:rPr>
          <w:lang w:val="en-US"/>
        </w:rPr>
        <w:t xml:space="preserve">There is a difference in reference </w:t>
      </w:r>
      <w:r w:rsidR="00825FCC">
        <w:rPr>
          <w:lang w:val="en-US"/>
        </w:rPr>
        <w:t>bandwidth</w:t>
      </w:r>
      <w:r w:rsidR="00A93D93">
        <w:rPr>
          <w:lang w:val="en-US"/>
        </w:rPr>
        <w:t xml:space="preserve"> over different freqeuncy ranges in </w:t>
      </w:r>
      <w:r w:rsidR="00A93D93" w:rsidRPr="007F1BE7">
        <w:rPr>
          <w:i/>
          <w:lang w:val="en-US"/>
        </w:rPr>
        <w:t>Recommend</w:t>
      </w:r>
      <w:r w:rsidR="007F1BE7">
        <w:rPr>
          <w:i/>
          <w:lang w:val="en-US"/>
        </w:rPr>
        <w:t>s</w:t>
      </w:r>
      <w:r w:rsidR="00A93D93" w:rsidRPr="007F1BE7">
        <w:rPr>
          <w:i/>
          <w:lang w:val="en-US"/>
        </w:rPr>
        <w:t xml:space="preserve"> 4</w:t>
      </w:r>
      <w:r w:rsidR="00401EF9" w:rsidRPr="007F1BE7">
        <w:rPr>
          <w:i/>
          <w:lang w:val="en-US"/>
        </w:rPr>
        <w:t>.1</w:t>
      </w:r>
      <w:r w:rsidR="00BE14ED">
        <w:rPr>
          <w:lang w:val="en-US"/>
        </w:rPr>
        <w:t xml:space="preserve"> in [1</w:t>
      </w:r>
      <w:r w:rsidR="00763448">
        <w:rPr>
          <w:lang w:val="en-US"/>
        </w:rPr>
        <w:t>] but</w:t>
      </w:r>
      <w:r w:rsidR="00825FCC">
        <w:rPr>
          <w:lang w:val="en-US"/>
        </w:rPr>
        <w:t xml:space="preserve"> </w:t>
      </w:r>
      <w:r w:rsidR="00763448">
        <w:rPr>
          <w:lang w:val="en-US"/>
        </w:rPr>
        <w:t xml:space="preserve">it </w:t>
      </w:r>
      <w:r w:rsidR="00825FCC">
        <w:rPr>
          <w:lang w:val="en-US"/>
        </w:rPr>
        <w:t xml:space="preserve">is applicable regardless of operating frequency. For Category B spurious </w:t>
      </w:r>
      <w:r w:rsidR="00CE0547">
        <w:rPr>
          <w:lang w:val="en-US"/>
        </w:rPr>
        <w:t>emissions</w:t>
      </w:r>
      <w:r w:rsidR="00825FCC">
        <w:rPr>
          <w:lang w:val="en-US"/>
        </w:rPr>
        <w:t xml:space="preserve"> (from European regulation, see below), there is a difference in limits below and above 1 GHz</w:t>
      </w:r>
      <w:r w:rsidR="00CE0547">
        <w:rPr>
          <w:lang w:val="en-US"/>
        </w:rPr>
        <w:t>.</w:t>
      </w:r>
    </w:p>
    <w:p w14:paraId="4A40053F" w14:textId="163B54CA" w:rsidR="00846FAF" w:rsidRDefault="002C6E2B" w:rsidP="007F1BE7">
      <w:pPr>
        <w:pStyle w:val="BodyText"/>
        <w:rPr>
          <w:lang w:val="en-US"/>
        </w:rPr>
      </w:pPr>
      <w:r>
        <w:rPr>
          <w:lang w:val="en-US"/>
        </w:rPr>
        <w:t xml:space="preserve">There is a restriction in the freqeuncy range of the spurious domain for practical purposes in </w:t>
      </w:r>
      <w:r w:rsidRPr="007F1BE7">
        <w:rPr>
          <w:i/>
          <w:lang w:val="en-US"/>
        </w:rPr>
        <w:t>Recommend 2.</w:t>
      </w:r>
      <w:r w:rsidR="007F1BE7" w:rsidRPr="007F1BE7">
        <w:rPr>
          <w:i/>
          <w:lang w:val="en-US"/>
        </w:rPr>
        <w:t>5</w:t>
      </w:r>
      <w:r w:rsidR="007F1BE7">
        <w:rPr>
          <w:lang w:val="en-US"/>
        </w:rPr>
        <w:t xml:space="preserve"> of [1], </w:t>
      </w:r>
      <w:r w:rsidR="005D3409">
        <w:rPr>
          <w:lang w:val="en-US"/>
        </w:rPr>
        <w:t xml:space="preserve">where in particular the upper limit </w:t>
      </w:r>
      <w:r w:rsidR="00E3102E">
        <w:rPr>
          <w:lang w:val="en-US"/>
        </w:rPr>
        <w:t xml:space="preserve">to use for measurements depends on the fundamental frequency, as shown in </w:t>
      </w:r>
      <w:r w:rsidR="007F2151">
        <w:rPr>
          <w:lang w:val="en-US"/>
        </w:rPr>
        <w:fldChar w:fldCharType="begin"/>
      </w:r>
      <w:r w:rsidR="007F2151">
        <w:rPr>
          <w:lang w:val="en-US"/>
        </w:rPr>
        <w:instrText xml:space="preserve"> REF _Ref14426966 \h </w:instrText>
      </w:r>
      <w:r w:rsidR="007F2151">
        <w:rPr>
          <w:lang w:val="en-US"/>
        </w:rPr>
      </w:r>
      <w:r w:rsidR="007F2151">
        <w:rPr>
          <w:lang w:val="en-US"/>
        </w:rPr>
        <w:fldChar w:fldCharType="separate"/>
      </w:r>
      <w:r w:rsidR="007F2151">
        <w:t xml:space="preserve">Table </w:t>
      </w:r>
      <w:r w:rsidR="007F2151">
        <w:rPr>
          <w:noProof/>
        </w:rPr>
        <w:t>1</w:t>
      </w:r>
      <w:r w:rsidR="007F2151">
        <w:rPr>
          <w:lang w:val="en-US"/>
        </w:rPr>
        <w:fldChar w:fldCharType="end"/>
      </w:r>
      <w:r w:rsidR="007F2151">
        <w:rPr>
          <w:lang w:val="en-US"/>
        </w:rPr>
        <w:t xml:space="preserve"> for the freqeuncy ranges relevant for mobile systems. Th</w:t>
      </w:r>
      <w:r w:rsidR="00C64C3A">
        <w:rPr>
          <w:lang w:val="en-US"/>
        </w:rPr>
        <w:t>e upper limit restriction is applied in 3GPP specifications</w:t>
      </w:r>
      <w:r w:rsidR="00277FC8">
        <w:rPr>
          <w:lang w:val="en-US"/>
        </w:rPr>
        <w:t xml:space="preserve"> of spurious </w:t>
      </w:r>
      <w:r w:rsidR="00846FAF">
        <w:rPr>
          <w:lang w:val="en-US"/>
        </w:rPr>
        <w:t>emissions but</w:t>
      </w:r>
      <w:r w:rsidR="0079422A">
        <w:rPr>
          <w:lang w:val="en-US"/>
        </w:rPr>
        <w:t xml:space="preserve"> is set to 12.75 GHz for all low and mid bands for historical reasons.</w:t>
      </w:r>
      <w:r w:rsidR="00C64C3A">
        <w:rPr>
          <w:lang w:val="en-US"/>
        </w:rPr>
        <w:t xml:space="preserve"> </w:t>
      </w:r>
    </w:p>
    <w:p w14:paraId="0CC11E4B" w14:textId="26498B63" w:rsidR="00840F8A" w:rsidRDefault="00662679" w:rsidP="007F1BE7">
      <w:pPr>
        <w:pStyle w:val="BodyText"/>
        <w:rPr>
          <w:lang w:val="en-US"/>
        </w:rPr>
      </w:pPr>
      <w:r>
        <w:rPr>
          <w:lang w:val="en-US"/>
        </w:rPr>
        <w:t xml:space="preserve">As seen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_Ref14426966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, </w:t>
      </w:r>
      <w:r w:rsidR="00846FAF">
        <w:rPr>
          <w:lang w:val="en-US"/>
        </w:rPr>
        <w:t xml:space="preserve">the recommended upper limit </w:t>
      </w:r>
      <w:r w:rsidR="00884688">
        <w:rPr>
          <w:lang w:val="en-US"/>
        </w:rPr>
        <w:t>for measurements in the</w:t>
      </w:r>
      <w:r w:rsidR="00C64C3A">
        <w:rPr>
          <w:lang w:val="en-US"/>
        </w:rPr>
        <w:t xml:space="preserve"> 7-13 </w:t>
      </w:r>
      <w:r w:rsidR="00277FC8">
        <w:rPr>
          <w:lang w:val="en-US"/>
        </w:rPr>
        <w:t>GHz</w:t>
      </w:r>
      <w:r w:rsidR="00C64C3A">
        <w:rPr>
          <w:lang w:val="en-US"/>
        </w:rPr>
        <w:t xml:space="preserve"> range</w:t>
      </w:r>
      <w:r w:rsidR="00884688">
        <w:rPr>
          <w:lang w:val="en-US"/>
        </w:rPr>
        <w:t xml:space="preserve"> </w:t>
      </w:r>
      <w:r w:rsidR="00C64C3A">
        <w:rPr>
          <w:lang w:val="en-US"/>
        </w:rPr>
        <w:t xml:space="preserve">is 26 GHz, while </w:t>
      </w:r>
      <w:r w:rsidR="00277FC8">
        <w:rPr>
          <w:lang w:val="en-US"/>
        </w:rPr>
        <w:t>for 13-24 GHz, the upper limit is the 2</w:t>
      </w:r>
      <w:r w:rsidR="00277FC8" w:rsidRPr="00277FC8">
        <w:rPr>
          <w:vertAlign w:val="superscript"/>
          <w:lang w:val="en-US"/>
        </w:rPr>
        <w:t>nd</w:t>
      </w:r>
      <w:r w:rsidR="00277FC8">
        <w:rPr>
          <w:lang w:val="en-US"/>
        </w:rPr>
        <w:t xml:space="preserve"> harmonic.</w:t>
      </w:r>
    </w:p>
    <w:p w14:paraId="7924A6B6" w14:textId="2FD7D80E" w:rsidR="00071C4F" w:rsidRDefault="00071C4F" w:rsidP="00071C4F">
      <w:pPr>
        <w:pStyle w:val="Caption"/>
        <w:keepNext/>
        <w:spacing w:after="120"/>
        <w:jc w:val="center"/>
      </w:pPr>
      <w:bookmarkStart w:id="1" w:name="_Ref1442696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: </w:t>
      </w:r>
      <w:r w:rsidR="007F2151" w:rsidRPr="007F2151">
        <w:t>Frequency range for measurement of unwanted emissions</w:t>
      </w:r>
      <w:r w:rsidR="007F2151">
        <w:t xml:space="preserve"> (from [1])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268"/>
        <w:gridCol w:w="2551"/>
      </w:tblGrid>
      <w:tr w:rsidR="007F2151" w:rsidRPr="0091243D" w14:paraId="0869DE0B" w14:textId="77777777" w:rsidTr="00332A18">
        <w:trPr>
          <w:jc w:val="center"/>
        </w:trPr>
        <w:tc>
          <w:tcPr>
            <w:tcW w:w="2093" w:type="dxa"/>
            <w:vMerge w:val="restart"/>
            <w:shd w:val="clear" w:color="auto" w:fill="auto"/>
          </w:tcPr>
          <w:p w14:paraId="478F8925" w14:textId="7C5AB768" w:rsidR="007F2151" w:rsidRPr="00332A18" w:rsidRDefault="007F2151" w:rsidP="00332A18">
            <w:pPr>
              <w:pStyle w:val="BodyText"/>
              <w:jc w:val="center"/>
              <w:rPr>
                <w:lang w:val="en-US"/>
              </w:rPr>
            </w:pPr>
            <w:r w:rsidRPr="00332A18">
              <w:rPr>
                <w:b/>
                <w:bCs/>
                <w:szCs w:val="22"/>
                <w:lang w:val="sv-SE" w:eastAsia="sv-SE"/>
              </w:rPr>
              <w:t>Fundamental frequency range</w:t>
            </w:r>
          </w:p>
        </w:tc>
        <w:tc>
          <w:tcPr>
            <w:tcW w:w="4819" w:type="dxa"/>
            <w:gridSpan w:val="2"/>
            <w:shd w:val="clear" w:color="auto" w:fill="auto"/>
          </w:tcPr>
          <w:p w14:paraId="0D36BFD4" w14:textId="47455925" w:rsidR="007F2151" w:rsidRPr="00332A18" w:rsidRDefault="007F2151" w:rsidP="00332A18">
            <w:pPr>
              <w:pStyle w:val="BodyText"/>
              <w:jc w:val="center"/>
              <w:rPr>
                <w:lang w:val="en-US"/>
              </w:rPr>
            </w:pPr>
            <w:r w:rsidRPr="00332A18">
              <w:rPr>
                <w:b/>
                <w:bCs/>
                <w:szCs w:val="22"/>
                <w:lang w:val="sv-SE" w:eastAsia="sv-SE"/>
              </w:rPr>
              <w:t>Frequency range for measurements</w:t>
            </w:r>
          </w:p>
        </w:tc>
      </w:tr>
      <w:tr w:rsidR="007F2151" w:rsidRPr="0091243D" w14:paraId="762CCD42" w14:textId="77777777" w:rsidTr="00332A18">
        <w:trPr>
          <w:jc w:val="center"/>
        </w:trPr>
        <w:tc>
          <w:tcPr>
            <w:tcW w:w="2093" w:type="dxa"/>
            <w:vMerge/>
            <w:shd w:val="clear" w:color="auto" w:fill="auto"/>
          </w:tcPr>
          <w:p w14:paraId="6077FE0C" w14:textId="77777777" w:rsidR="007F2151" w:rsidRPr="00332A18" w:rsidRDefault="007F2151" w:rsidP="00332A18">
            <w:pPr>
              <w:pStyle w:val="BodyText"/>
              <w:jc w:val="center"/>
              <w:rPr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14:paraId="7659F915" w14:textId="3CE9E6F7" w:rsidR="007F2151" w:rsidRPr="00332A18" w:rsidRDefault="007F2151" w:rsidP="00332A18">
            <w:pPr>
              <w:pStyle w:val="BodyText"/>
              <w:jc w:val="center"/>
              <w:rPr>
                <w:b/>
                <w:lang w:val="en-US"/>
              </w:rPr>
            </w:pPr>
            <w:r w:rsidRPr="00332A18">
              <w:rPr>
                <w:b/>
                <w:lang w:val="en-US"/>
              </w:rPr>
              <w:t>Lower limit</w:t>
            </w:r>
          </w:p>
        </w:tc>
        <w:tc>
          <w:tcPr>
            <w:tcW w:w="2551" w:type="dxa"/>
            <w:shd w:val="clear" w:color="auto" w:fill="auto"/>
          </w:tcPr>
          <w:p w14:paraId="74B59BF4" w14:textId="6089A95A" w:rsidR="007F2151" w:rsidRPr="00332A18" w:rsidRDefault="007F2151" w:rsidP="00332A18">
            <w:pPr>
              <w:pStyle w:val="BodyText"/>
              <w:jc w:val="center"/>
              <w:rPr>
                <w:b/>
                <w:lang w:val="en-US"/>
              </w:rPr>
            </w:pPr>
            <w:r w:rsidRPr="00332A18">
              <w:rPr>
                <w:b/>
                <w:lang w:val="en-US"/>
              </w:rPr>
              <w:t>Upper limit</w:t>
            </w:r>
          </w:p>
        </w:tc>
      </w:tr>
      <w:tr w:rsidR="00E3102E" w:rsidRPr="0091243D" w14:paraId="55C90CA0" w14:textId="77777777" w:rsidTr="00332A18">
        <w:trPr>
          <w:jc w:val="center"/>
        </w:trPr>
        <w:tc>
          <w:tcPr>
            <w:tcW w:w="2093" w:type="dxa"/>
            <w:shd w:val="clear" w:color="auto" w:fill="auto"/>
          </w:tcPr>
          <w:p w14:paraId="2FCB534A" w14:textId="231C6A6B" w:rsidR="00E3102E" w:rsidRPr="00332A18" w:rsidRDefault="003C3F82" w:rsidP="00332A18">
            <w:pPr>
              <w:pStyle w:val="BodyText"/>
              <w:jc w:val="center"/>
              <w:rPr>
                <w:lang w:val="en-US"/>
              </w:rPr>
            </w:pPr>
            <w:r w:rsidRPr="00332A18">
              <w:rPr>
                <w:lang w:val="en-US"/>
              </w:rPr>
              <w:t>300 MHz – 600 MHz</w:t>
            </w:r>
          </w:p>
        </w:tc>
        <w:tc>
          <w:tcPr>
            <w:tcW w:w="2268" w:type="dxa"/>
            <w:shd w:val="clear" w:color="auto" w:fill="auto"/>
          </w:tcPr>
          <w:p w14:paraId="26471088" w14:textId="23088F36" w:rsidR="00E3102E" w:rsidRPr="00332A18" w:rsidRDefault="00840F8A" w:rsidP="00332A18">
            <w:pPr>
              <w:pStyle w:val="BodyText"/>
              <w:jc w:val="center"/>
              <w:rPr>
                <w:lang w:val="en-US"/>
              </w:rPr>
            </w:pPr>
            <w:r w:rsidRPr="00332A18">
              <w:rPr>
                <w:lang w:val="en-US"/>
              </w:rPr>
              <w:t>30 MHz</w:t>
            </w:r>
          </w:p>
        </w:tc>
        <w:tc>
          <w:tcPr>
            <w:tcW w:w="2551" w:type="dxa"/>
            <w:shd w:val="clear" w:color="auto" w:fill="auto"/>
          </w:tcPr>
          <w:p w14:paraId="0F51F24C" w14:textId="75AE5D61" w:rsidR="00E3102E" w:rsidRPr="00332A18" w:rsidRDefault="00840F8A" w:rsidP="00332A18">
            <w:pPr>
              <w:pStyle w:val="BodyText"/>
              <w:jc w:val="center"/>
              <w:rPr>
                <w:lang w:val="en-US"/>
              </w:rPr>
            </w:pPr>
            <w:r w:rsidRPr="00332A18">
              <w:rPr>
                <w:lang w:val="en-US"/>
              </w:rPr>
              <w:t>3 GHz</w:t>
            </w:r>
          </w:p>
        </w:tc>
      </w:tr>
      <w:tr w:rsidR="00071C4F" w:rsidRPr="0091243D" w14:paraId="435F9A7C" w14:textId="77777777" w:rsidTr="00332A18">
        <w:trPr>
          <w:jc w:val="center"/>
        </w:trPr>
        <w:tc>
          <w:tcPr>
            <w:tcW w:w="2093" w:type="dxa"/>
            <w:shd w:val="clear" w:color="auto" w:fill="auto"/>
          </w:tcPr>
          <w:p w14:paraId="1CF626C0" w14:textId="13210328" w:rsidR="00071C4F" w:rsidRPr="00332A18" w:rsidRDefault="00071C4F" w:rsidP="00332A18">
            <w:pPr>
              <w:pStyle w:val="BodyText"/>
              <w:jc w:val="center"/>
              <w:rPr>
                <w:lang w:val="en-US"/>
              </w:rPr>
            </w:pPr>
            <w:r w:rsidRPr="00332A18">
              <w:rPr>
                <w:lang w:val="en-US"/>
              </w:rPr>
              <w:t>600 MHz – 5.2 GHz</w:t>
            </w:r>
          </w:p>
        </w:tc>
        <w:tc>
          <w:tcPr>
            <w:tcW w:w="2268" w:type="dxa"/>
            <w:shd w:val="clear" w:color="auto" w:fill="auto"/>
          </w:tcPr>
          <w:p w14:paraId="2A395850" w14:textId="1F1DEE4B" w:rsidR="00071C4F" w:rsidRPr="00332A18" w:rsidRDefault="00071C4F" w:rsidP="00332A18">
            <w:pPr>
              <w:pStyle w:val="BodyText"/>
              <w:jc w:val="center"/>
              <w:rPr>
                <w:lang w:val="en-US"/>
              </w:rPr>
            </w:pPr>
            <w:r w:rsidRPr="00332A18">
              <w:rPr>
                <w:lang w:val="en-US"/>
              </w:rPr>
              <w:t>30 MHz</w:t>
            </w:r>
          </w:p>
        </w:tc>
        <w:tc>
          <w:tcPr>
            <w:tcW w:w="2551" w:type="dxa"/>
            <w:shd w:val="clear" w:color="auto" w:fill="auto"/>
          </w:tcPr>
          <w:p w14:paraId="74FDB041" w14:textId="3D42936B" w:rsidR="00071C4F" w:rsidRPr="00332A18" w:rsidRDefault="00071C4F" w:rsidP="00332A18">
            <w:pPr>
              <w:pStyle w:val="BodyText"/>
              <w:jc w:val="center"/>
              <w:rPr>
                <w:lang w:val="en-US"/>
              </w:rPr>
            </w:pPr>
            <w:r w:rsidRPr="00332A18">
              <w:rPr>
                <w:lang w:val="en-US"/>
              </w:rPr>
              <w:t>5</w:t>
            </w:r>
            <w:r w:rsidRPr="00332A18">
              <w:rPr>
                <w:vertAlign w:val="superscript"/>
                <w:lang w:val="en-US"/>
              </w:rPr>
              <w:t>th</w:t>
            </w:r>
            <w:r w:rsidRPr="00332A18">
              <w:rPr>
                <w:lang w:val="en-US"/>
              </w:rPr>
              <w:t xml:space="preserve"> harmonic</w:t>
            </w:r>
          </w:p>
        </w:tc>
      </w:tr>
      <w:tr w:rsidR="00071C4F" w:rsidRPr="0091243D" w14:paraId="30339055" w14:textId="77777777" w:rsidTr="00332A18">
        <w:trPr>
          <w:jc w:val="center"/>
        </w:trPr>
        <w:tc>
          <w:tcPr>
            <w:tcW w:w="2093" w:type="dxa"/>
            <w:shd w:val="clear" w:color="auto" w:fill="auto"/>
          </w:tcPr>
          <w:p w14:paraId="45B65E0A" w14:textId="1C8BAD82" w:rsidR="00071C4F" w:rsidRPr="00332A18" w:rsidRDefault="00071C4F" w:rsidP="00332A18">
            <w:pPr>
              <w:pStyle w:val="BodyText"/>
              <w:jc w:val="center"/>
              <w:rPr>
                <w:lang w:val="en-US"/>
              </w:rPr>
            </w:pPr>
            <w:r w:rsidRPr="00332A18">
              <w:rPr>
                <w:lang w:val="en-US"/>
              </w:rPr>
              <w:t>5.2 GHz – 13 GHz</w:t>
            </w:r>
          </w:p>
        </w:tc>
        <w:tc>
          <w:tcPr>
            <w:tcW w:w="2268" w:type="dxa"/>
            <w:shd w:val="clear" w:color="auto" w:fill="auto"/>
          </w:tcPr>
          <w:p w14:paraId="00427B0E" w14:textId="5A4B78DA" w:rsidR="00071C4F" w:rsidRPr="00332A18" w:rsidRDefault="00071C4F" w:rsidP="00332A18">
            <w:pPr>
              <w:pStyle w:val="BodyText"/>
              <w:jc w:val="center"/>
              <w:rPr>
                <w:lang w:val="en-US"/>
              </w:rPr>
            </w:pPr>
            <w:r w:rsidRPr="00332A18">
              <w:rPr>
                <w:lang w:val="en-US"/>
              </w:rPr>
              <w:t>30 MHz</w:t>
            </w:r>
          </w:p>
        </w:tc>
        <w:tc>
          <w:tcPr>
            <w:tcW w:w="2551" w:type="dxa"/>
            <w:shd w:val="clear" w:color="auto" w:fill="auto"/>
          </w:tcPr>
          <w:p w14:paraId="11777E43" w14:textId="607D47DE" w:rsidR="00071C4F" w:rsidRPr="00332A18" w:rsidRDefault="00071C4F" w:rsidP="00332A18">
            <w:pPr>
              <w:pStyle w:val="BodyText"/>
              <w:jc w:val="center"/>
              <w:rPr>
                <w:lang w:val="en-US"/>
              </w:rPr>
            </w:pPr>
            <w:r w:rsidRPr="00332A18">
              <w:rPr>
                <w:lang w:val="en-US"/>
              </w:rPr>
              <w:t xml:space="preserve">26 </w:t>
            </w:r>
            <w:r w:rsidR="00C64C3A" w:rsidRPr="00332A18">
              <w:rPr>
                <w:lang w:val="en-US"/>
              </w:rPr>
              <w:t>GHz</w:t>
            </w:r>
          </w:p>
        </w:tc>
      </w:tr>
      <w:tr w:rsidR="00071C4F" w:rsidRPr="0091243D" w14:paraId="26635152" w14:textId="77777777" w:rsidTr="00332A18">
        <w:trPr>
          <w:jc w:val="center"/>
        </w:trPr>
        <w:tc>
          <w:tcPr>
            <w:tcW w:w="2093" w:type="dxa"/>
            <w:shd w:val="clear" w:color="auto" w:fill="auto"/>
          </w:tcPr>
          <w:p w14:paraId="1C91D423" w14:textId="27D0A2CE" w:rsidR="00071C4F" w:rsidRPr="00332A18" w:rsidRDefault="00071C4F" w:rsidP="00332A18">
            <w:pPr>
              <w:pStyle w:val="BodyText"/>
              <w:jc w:val="center"/>
              <w:rPr>
                <w:lang w:val="en-US"/>
              </w:rPr>
            </w:pPr>
            <w:r w:rsidRPr="00332A18">
              <w:rPr>
                <w:lang w:val="en-US"/>
              </w:rPr>
              <w:t>13 GHz – 150 GHz</w:t>
            </w:r>
          </w:p>
        </w:tc>
        <w:tc>
          <w:tcPr>
            <w:tcW w:w="2268" w:type="dxa"/>
            <w:shd w:val="clear" w:color="auto" w:fill="auto"/>
          </w:tcPr>
          <w:p w14:paraId="21840EE2" w14:textId="1C683996" w:rsidR="00071C4F" w:rsidRPr="00332A18" w:rsidRDefault="00071C4F" w:rsidP="00332A18">
            <w:pPr>
              <w:pStyle w:val="BodyText"/>
              <w:jc w:val="center"/>
              <w:rPr>
                <w:lang w:val="en-US"/>
              </w:rPr>
            </w:pPr>
            <w:r w:rsidRPr="00332A18">
              <w:rPr>
                <w:lang w:val="en-US"/>
              </w:rPr>
              <w:t>30 MHz</w:t>
            </w:r>
          </w:p>
        </w:tc>
        <w:tc>
          <w:tcPr>
            <w:tcW w:w="2551" w:type="dxa"/>
            <w:shd w:val="clear" w:color="auto" w:fill="auto"/>
          </w:tcPr>
          <w:p w14:paraId="623BACDC" w14:textId="781B197E" w:rsidR="00071C4F" w:rsidRPr="00332A18" w:rsidRDefault="00071C4F" w:rsidP="00332A18">
            <w:pPr>
              <w:pStyle w:val="BodyText"/>
              <w:jc w:val="center"/>
              <w:rPr>
                <w:lang w:val="en-US"/>
              </w:rPr>
            </w:pPr>
            <w:r w:rsidRPr="00332A18">
              <w:rPr>
                <w:lang w:val="en-US"/>
              </w:rPr>
              <w:t>2</w:t>
            </w:r>
            <w:r w:rsidRPr="00332A18">
              <w:rPr>
                <w:vertAlign w:val="superscript"/>
                <w:lang w:val="en-US"/>
              </w:rPr>
              <w:t>nd</w:t>
            </w:r>
            <w:r w:rsidRPr="00332A18">
              <w:rPr>
                <w:lang w:val="en-US"/>
              </w:rPr>
              <w:t xml:space="preserve"> harmonic</w:t>
            </w:r>
          </w:p>
        </w:tc>
      </w:tr>
    </w:tbl>
    <w:p w14:paraId="2160912E" w14:textId="77777777" w:rsidR="00E3102E" w:rsidRDefault="00E3102E" w:rsidP="007F1BE7">
      <w:pPr>
        <w:pStyle w:val="BodyText"/>
        <w:rPr>
          <w:lang w:val="en-US"/>
        </w:rPr>
      </w:pPr>
    </w:p>
    <w:p w14:paraId="1ECAF3EF" w14:textId="75BFC4F4" w:rsidR="008755EB" w:rsidRDefault="006521DF" w:rsidP="00CA17CD">
      <w:pPr>
        <w:pStyle w:val="BodyText"/>
        <w:rPr>
          <w:lang w:val="en-US"/>
        </w:rPr>
      </w:pPr>
      <w:r>
        <w:rPr>
          <w:lang w:val="en-US"/>
        </w:rPr>
        <w:t>T</w:t>
      </w:r>
      <w:r w:rsidR="00863AA8">
        <w:rPr>
          <w:lang w:val="en-US"/>
        </w:rPr>
        <w:t xml:space="preserve">here is </w:t>
      </w:r>
      <w:r w:rsidR="00D23C5E">
        <w:rPr>
          <w:lang w:val="en-US"/>
        </w:rPr>
        <w:t xml:space="preserve">also </w:t>
      </w:r>
      <w:r w:rsidR="00BD3C25">
        <w:rPr>
          <w:lang w:val="en-US"/>
        </w:rPr>
        <w:t xml:space="preserve">Recommendation </w:t>
      </w:r>
      <w:r w:rsidR="00863AA8">
        <w:rPr>
          <w:lang w:val="en-US"/>
        </w:rPr>
        <w:t xml:space="preserve">ITU-R </w:t>
      </w:r>
      <w:r w:rsidR="008755EB">
        <w:rPr>
          <w:lang w:val="en-US"/>
        </w:rPr>
        <w:t>SM.328</w:t>
      </w:r>
      <w:r w:rsidR="00BD3C25">
        <w:rPr>
          <w:lang w:val="en-US"/>
        </w:rPr>
        <w:t xml:space="preserve"> [2]</w:t>
      </w:r>
      <w:r w:rsidR="00471D3B">
        <w:rPr>
          <w:lang w:val="en-US"/>
        </w:rPr>
        <w:t>, but i</w:t>
      </w:r>
      <w:r>
        <w:rPr>
          <w:lang w:val="en-US"/>
        </w:rPr>
        <w:t>t</w:t>
      </w:r>
      <w:r w:rsidR="00471D3B">
        <w:rPr>
          <w:lang w:val="en-US"/>
        </w:rPr>
        <w:t xml:space="preserve"> deals more with general principles and </w:t>
      </w:r>
      <w:r w:rsidR="00BB5E63">
        <w:rPr>
          <w:lang w:val="en-US"/>
        </w:rPr>
        <w:t>serves as a</w:t>
      </w:r>
      <w:r w:rsidR="00A475F1">
        <w:rPr>
          <w:lang w:val="en-US"/>
        </w:rPr>
        <w:t xml:space="preserve"> </w:t>
      </w:r>
      <w:r w:rsidR="00BB5E63">
        <w:rPr>
          <w:lang w:val="en-US"/>
        </w:rPr>
        <w:t xml:space="preserve">guidance for limits in the </w:t>
      </w:r>
      <w:r w:rsidR="003530BE">
        <w:rPr>
          <w:lang w:val="en-US"/>
        </w:rPr>
        <w:t>out-of-band</w:t>
      </w:r>
      <w:r w:rsidR="00BB5E63">
        <w:rPr>
          <w:lang w:val="en-US"/>
        </w:rPr>
        <w:t xml:space="preserve"> domain, but </w:t>
      </w:r>
      <w:r w:rsidR="00471D3B">
        <w:rPr>
          <w:lang w:val="en-US"/>
        </w:rPr>
        <w:t>has no specific limits</w:t>
      </w:r>
      <w:r w:rsidR="00BB5E63">
        <w:rPr>
          <w:lang w:val="en-US"/>
        </w:rPr>
        <w:t xml:space="preserve"> documented</w:t>
      </w:r>
      <w:r w:rsidR="00471D3B">
        <w:rPr>
          <w:lang w:val="en-US"/>
        </w:rPr>
        <w:t>. There are however very s</w:t>
      </w:r>
      <w:r w:rsidR="008755EB">
        <w:rPr>
          <w:lang w:val="en-US"/>
        </w:rPr>
        <w:t xml:space="preserve">pecific </w:t>
      </w:r>
      <w:r w:rsidR="00471D3B">
        <w:rPr>
          <w:lang w:val="en-US"/>
        </w:rPr>
        <w:t>limits</w:t>
      </w:r>
      <w:r w:rsidR="00855BA1">
        <w:rPr>
          <w:lang w:val="en-US"/>
        </w:rPr>
        <w:t xml:space="preserve"> defined in Recommendation ITU-R</w:t>
      </w:r>
      <w:r w:rsidR="002450A1">
        <w:rPr>
          <w:lang w:val="en-US"/>
        </w:rPr>
        <w:t xml:space="preserve"> M.1580 </w:t>
      </w:r>
      <w:r w:rsidR="00855BA1">
        <w:rPr>
          <w:lang w:val="en-US"/>
        </w:rPr>
        <w:t xml:space="preserve">[3] </w:t>
      </w:r>
      <w:r w:rsidR="002450A1">
        <w:rPr>
          <w:lang w:val="en-US"/>
        </w:rPr>
        <w:t xml:space="preserve">for UTRA and </w:t>
      </w:r>
      <w:r w:rsidR="00855BA1">
        <w:rPr>
          <w:lang w:val="en-US"/>
        </w:rPr>
        <w:t xml:space="preserve">ITU-R </w:t>
      </w:r>
      <w:r w:rsidR="008755EB">
        <w:rPr>
          <w:lang w:val="en-US"/>
        </w:rPr>
        <w:t>M.</w:t>
      </w:r>
      <w:r w:rsidR="002450A1">
        <w:rPr>
          <w:lang w:val="en-US"/>
        </w:rPr>
        <w:t>2070</w:t>
      </w:r>
      <w:r w:rsidR="00855BA1">
        <w:rPr>
          <w:lang w:val="en-US"/>
        </w:rPr>
        <w:t xml:space="preserve"> [4]</w:t>
      </w:r>
      <w:r w:rsidR="002450A1">
        <w:rPr>
          <w:lang w:val="en-US"/>
        </w:rPr>
        <w:t xml:space="preserve"> for E-UTRA</w:t>
      </w:r>
      <w:r w:rsidR="005A067C">
        <w:rPr>
          <w:lang w:val="en-US"/>
        </w:rPr>
        <w:t xml:space="preserve">, but these </w:t>
      </w:r>
      <w:r w:rsidR="00A45831">
        <w:rPr>
          <w:lang w:val="en-US"/>
        </w:rPr>
        <w:t>recommendations</w:t>
      </w:r>
      <w:r w:rsidR="005A067C">
        <w:rPr>
          <w:lang w:val="en-US"/>
        </w:rPr>
        <w:t xml:space="preserve"> are fundamentally based on 3GPP limits</w:t>
      </w:r>
      <w:r w:rsidR="002450A1">
        <w:rPr>
          <w:lang w:val="en-US"/>
        </w:rPr>
        <w:t xml:space="preserve">. </w:t>
      </w:r>
      <w:r w:rsidR="009538CB">
        <w:rPr>
          <w:lang w:val="en-US"/>
        </w:rPr>
        <w:t>S</w:t>
      </w:r>
      <w:r w:rsidR="005A067C">
        <w:rPr>
          <w:lang w:val="en-US"/>
        </w:rPr>
        <w:t xml:space="preserve">imilar recommendation will later be developed for </w:t>
      </w:r>
      <w:r w:rsidR="00A45831">
        <w:rPr>
          <w:lang w:val="en-US"/>
        </w:rPr>
        <w:t>IMT-2020</w:t>
      </w:r>
      <w:r w:rsidR="002450A1">
        <w:rPr>
          <w:lang w:val="en-US"/>
        </w:rPr>
        <w:t>,</w:t>
      </w:r>
      <w:r w:rsidR="00A45831">
        <w:rPr>
          <w:lang w:val="en-US"/>
        </w:rPr>
        <w:t xml:space="preserve"> </w:t>
      </w:r>
      <w:r w:rsidR="003B5D8D">
        <w:rPr>
          <w:lang w:val="en-US"/>
        </w:rPr>
        <w:t>where limits for NR would be based on the s</w:t>
      </w:r>
      <w:r w:rsidR="00A45831">
        <w:rPr>
          <w:lang w:val="en-US"/>
        </w:rPr>
        <w:t>ubmission of NR to ITU-R as a candidate</w:t>
      </w:r>
      <w:r w:rsidR="002450A1">
        <w:rPr>
          <w:lang w:val="en-US"/>
        </w:rPr>
        <w:t xml:space="preserve"> </w:t>
      </w:r>
      <w:r w:rsidR="003B5D8D">
        <w:rPr>
          <w:lang w:val="en-US"/>
        </w:rPr>
        <w:t>IMT-2020 system.</w:t>
      </w:r>
    </w:p>
    <w:p w14:paraId="3AA94E0D" w14:textId="68FD49A7" w:rsidR="00611BCD" w:rsidRDefault="00611BCD" w:rsidP="00611BCD">
      <w:pPr>
        <w:pStyle w:val="BodyText"/>
        <w:ind w:left="1985" w:hanging="1409"/>
        <w:rPr>
          <w:lang w:val="en-US"/>
        </w:rPr>
      </w:pPr>
      <w:r w:rsidRPr="00611BCD">
        <w:rPr>
          <w:b/>
          <w:lang w:val="en-US"/>
        </w:rPr>
        <w:t>Observation 1</w:t>
      </w:r>
      <w:r>
        <w:rPr>
          <w:lang w:val="en-US"/>
        </w:rPr>
        <w:t>:</w:t>
      </w:r>
      <w:r>
        <w:rPr>
          <w:lang w:val="en-US"/>
        </w:rPr>
        <w:tab/>
        <w:t xml:space="preserve">Presently </w:t>
      </w:r>
      <w:r w:rsidR="00CE0547">
        <w:rPr>
          <w:lang w:val="en-US"/>
        </w:rPr>
        <w:t xml:space="preserve">there are </w:t>
      </w:r>
      <w:r>
        <w:rPr>
          <w:lang w:val="en-US"/>
        </w:rPr>
        <w:t xml:space="preserve">no </w:t>
      </w:r>
      <w:r w:rsidR="00863AA8">
        <w:rPr>
          <w:lang w:val="en-US"/>
        </w:rPr>
        <w:t>specific</w:t>
      </w:r>
      <w:r>
        <w:rPr>
          <w:lang w:val="en-US"/>
        </w:rPr>
        <w:t xml:space="preserve"> ITU-R limits documented for 7-24 GHz or above – the generic </w:t>
      </w:r>
      <w:r w:rsidR="00B35F9C">
        <w:rPr>
          <w:lang w:val="en-US"/>
        </w:rPr>
        <w:t xml:space="preserve">spurious emission </w:t>
      </w:r>
      <w:r>
        <w:rPr>
          <w:lang w:val="en-US"/>
        </w:rPr>
        <w:t xml:space="preserve">limits in recommendations are homogeneous for operation above 1 GHz, except for the variation in </w:t>
      </w:r>
      <w:r w:rsidR="00CA38E7">
        <w:rPr>
          <w:lang w:val="en-US"/>
        </w:rPr>
        <w:t xml:space="preserve">the </w:t>
      </w:r>
      <w:r>
        <w:rPr>
          <w:lang w:val="en-US"/>
        </w:rPr>
        <w:t xml:space="preserve">spurious frequency range </w:t>
      </w:r>
      <w:r w:rsidR="007040C4">
        <w:rPr>
          <w:lang w:val="en-US"/>
        </w:rPr>
        <w:t xml:space="preserve">for measurement, which </w:t>
      </w:r>
      <w:r w:rsidR="005D3409">
        <w:rPr>
          <w:lang w:val="en-US"/>
        </w:rPr>
        <w:t>depends on the fundamental frequency</w:t>
      </w:r>
      <w:r>
        <w:rPr>
          <w:lang w:val="en-US"/>
        </w:rPr>
        <w:t>.</w:t>
      </w:r>
    </w:p>
    <w:p w14:paraId="4831C82C" w14:textId="0ED093FE" w:rsidR="00CA17CD" w:rsidRDefault="00CA17CD" w:rsidP="00CA17CD">
      <w:pPr>
        <w:pStyle w:val="Heading2"/>
        <w:rPr>
          <w:lang w:val="en-US"/>
        </w:rPr>
      </w:pPr>
      <w:r>
        <w:rPr>
          <w:lang w:val="en-US"/>
        </w:rPr>
        <w:lastRenderedPageBreak/>
        <w:t>European recommendations</w:t>
      </w:r>
    </w:p>
    <w:p w14:paraId="10D1AC5C" w14:textId="6AC685C8" w:rsidR="004E7B50" w:rsidRDefault="00A21076" w:rsidP="00CA17CD">
      <w:pPr>
        <w:pStyle w:val="BodyText"/>
        <w:rPr>
          <w:lang w:val="en-US"/>
        </w:rPr>
      </w:pPr>
      <w:r>
        <w:rPr>
          <w:lang w:val="en-US"/>
        </w:rPr>
        <w:t xml:space="preserve">Europe applies the Category B emission limits </w:t>
      </w:r>
      <w:r w:rsidR="002B25BE">
        <w:rPr>
          <w:lang w:val="en-US"/>
        </w:rPr>
        <w:t>documented in</w:t>
      </w:r>
      <w:r>
        <w:rPr>
          <w:lang w:val="en-US"/>
        </w:rPr>
        <w:t xml:space="preserve"> </w:t>
      </w:r>
      <w:r w:rsidR="00401B6B">
        <w:rPr>
          <w:lang w:val="en-US"/>
        </w:rPr>
        <w:t>Recommendation ITU-R SM.329 [1</w:t>
      </w:r>
      <w:r w:rsidR="00597123">
        <w:rPr>
          <w:lang w:val="en-US"/>
        </w:rPr>
        <w:t>]. These</w:t>
      </w:r>
      <w:r w:rsidR="00C03125">
        <w:rPr>
          <w:lang w:val="en-US"/>
        </w:rPr>
        <w:t xml:space="preserve"> limits are </w:t>
      </w:r>
      <w:r w:rsidR="00B534A7">
        <w:rPr>
          <w:lang w:val="en-US"/>
        </w:rPr>
        <w:t>based on</w:t>
      </w:r>
      <w:r w:rsidR="00C03125">
        <w:rPr>
          <w:lang w:val="en-US"/>
        </w:rPr>
        <w:t xml:space="preserve"> the </w:t>
      </w:r>
      <w:r w:rsidR="00B534A7">
        <w:rPr>
          <w:lang w:val="en-US"/>
        </w:rPr>
        <w:t xml:space="preserve">European </w:t>
      </w:r>
      <w:r w:rsidR="00181686">
        <w:rPr>
          <w:lang w:val="en-US"/>
        </w:rPr>
        <w:t xml:space="preserve">ERC </w:t>
      </w:r>
      <w:r w:rsidR="00C03125">
        <w:rPr>
          <w:lang w:val="en-US"/>
        </w:rPr>
        <w:t>Recommendation 74-01 [</w:t>
      </w:r>
      <w:r w:rsidR="00597123">
        <w:rPr>
          <w:lang w:val="en-US"/>
        </w:rPr>
        <w:t>5]</w:t>
      </w:r>
      <w:r w:rsidR="00597123" w:rsidRPr="00597123">
        <w:rPr>
          <w:lang w:val="en-US"/>
        </w:rPr>
        <w:t xml:space="preserve"> </w:t>
      </w:r>
      <w:r w:rsidR="00597123">
        <w:rPr>
          <w:lang w:val="en-US"/>
        </w:rPr>
        <w:t>and are more stringent than the general Category A limits.</w:t>
      </w:r>
      <w:r w:rsidR="00181686">
        <w:rPr>
          <w:lang w:val="en-US"/>
        </w:rPr>
        <w:t xml:space="preserve"> There is also a broader</w:t>
      </w:r>
      <w:r w:rsidR="00DD6B9A">
        <w:rPr>
          <w:lang w:val="en-US"/>
        </w:rPr>
        <w:t xml:space="preserve"> ECC recommendation (02)05 [6] on unwanted emissions, but it has no recommendation for specific limits.</w:t>
      </w:r>
    </w:p>
    <w:p w14:paraId="4E3B8265" w14:textId="74475675" w:rsidR="00956B2E" w:rsidRDefault="00055AE7" w:rsidP="00CA17CD">
      <w:pPr>
        <w:pStyle w:val="BodyText"/>
        <w:rPr>
          <w:lang w:val="en-US"/>
        </w:rPr>
      </w:pPr>
      <w:r>
        <w:rPr>
          <w:lang w:val="en-US"/>
        </w:rPr>
        <w:t xml:space="preserve">There has been a recent revision of ECC Rec </w:t>
      </w:r>
      <w:r w:rsidR="002450A1">
        <w:rPr>
          <w:lang w:val="en-US"/>
        </w:rPr>
        <w:t xml:space="preserve">74-01 </w:t>
      </w:r>
      <w:r>
        <w:rPr>
          <w:lang w:val="en-US"/>
        </w:rPr>
        <w:t>[5</w:t>
      </w:r>
      <w:r w:rsidR="00D13B15">
        <w:rPr>
          <w:lang w:val="en-US"/>
        </w:rPr>
        <w:t>], making it not fully aligned with</w:t>
      </w:r>
      <w:r w:rsidR="00912F23">
        <w:rPr>
          <w:lang w:val="en-US"/>
        </w:rPr>
        <w:t xml:space="preserve"> the corresponding Category B limits in ITU-R. There are</w:t>
      </w:r>
      <w:r w:rsidR="00D13B15">
        <w:rPr>
          <w:lang w:val="en-US"/>
        </w:rPr>
        <w:t xml:space="preserve"> </w:t>
      </w:r>
      <w:r w:rsidR="00912F23">
        <w:rPr>
          <w:lang w:val="en-US"/>
        </w:rPr>
        <w:t xml:space="preserve">new </w:t>
      </w:r>
      <w:r w:rsidR="00B534A7">
        <w:rPr>
          <w:lang w:val="en-US"/>
        </w:rPr>
        <w:t xml:space="preserve">specific </w:t>
      </w:r>
      <w:r w:rsidR="00912F23">
        <w:rPr>
          <w:lang w:val="en-US"/>
        </w:rPr>
        <w:t>limits for</w:t>
      </w:r>
      <w:r w:rsidR="00A34A80">
        <w:rPr>
          <w:lang w:val="en-US"/>
        </w:rPr>
        <w:t xml:space="preserve"> “</w:t>
      </w:r>
      <w:r w:rsidR="00A34A80" w:rsidRPr="00A34A80">
        <w:rPr>
          <w:lang w:val="en-US"/>
        </w:rPr>
        <w:t>Base Stations using AAS and beamforming with integrated antennas</w:t>
      </w:r>
      <w:r w:rsidR="00A34A80">
        <w:rPr>
          <w:lang w:val="en-US"/>
        </w:rPr>
        <w:t>”</w:t>
      </w:r>
      <w:r w:rsidR="00A162AE">
        <w:rPr>
          <w:lang w:val="en-US"/>
        </w:rPr>
        <w:t xml:space="preserve"> covering operation below 6 </w:t>
      </w:r>
      <w:r w:rsidR="00956B2E">
        <w:rPr>
          <w:lang w:val="en-US"/>
        </w:rPr>
        <w:t>GHz</w:t>
      </w:r>
      <w:r w:rsidR="00A162AE">
        <w:rPr>
          <w:lang w:val="en-US"/>
        </w:rPr>
        <w:t xml:space="preserve"> and above 24.25 GHz. No new </w:t>
      </w:r>
      <w:r w:rsidR="00E76B7C">
        <w:rPr>
          <w:lang w:val="en-US"/>
        </w:rPr>
        <w:t>limits</w:t>
      </w:r>
      <w:r w:rsidR="00A162AE">
        <w:rPr>
          <w:lang w:val="en-US"/>
        </w:rPr>
        <w:t xml:space="preserve"> are defined in the 6-24.25 GHz range</w:t>
      </w:r>
      <w:r w:rsidR="00E76B7C">
        <w:rPr>
          <w:lang w:val="en-US"/>
        </w:rPr>
        <w:t xml:space="preserve">, motivated </w:t>
      </w:r>
      <w:r w:rsidR="000F6CBA">
        <w:rPr>
          <w:lang w:val="en-US"/>
        </w:rPr>
        <w:t>by lack of</w:t>
      </w:r>
      <w:r w:rsidR="00E76B7C" w:rsidRPr="00E76B7C">
        <w:rPr>
          <w:lang w:val="en-US"/>
        </w:rPr>
        <w:t xml:space="preserve"> information on </w:t>
      </w:r>
      <w:r w:rsidR="00AF1D15">
        <w:rPr>
          <w:lang w:val="en-US"/>
        </w:rPr>
        <w:t xml:space="preserve">such </w:t>
      </w:r>
      <w:r w:rsidR="00E76B7C" w:rsidRPr="00E76B7C">
        <w:rPr>
          <w:lang w:val="en-US"/>
        </w:rPr>
        <w:t xml:space="preserve">base stations operating </w:t>
      </w:r>
      <w:r w:rsidR="00D1712C">
        <w:rPr>
          <w:lang w:val="en-US"/>
        </w:rPr>
        <w:t>in that range</w:t>
      </w:r>
      <w:r w:rsidR="00E76B7C" w:rsidRPr="00E76B7C">
        <w:rPr>
          <w:lang w:val="en-US"/>
        </w:rPr>
        <w:t xml:space="preserve">. </w:t>
      </w:r>
      <w:r w:rsidR="000F6CBA">
        <w:rPr>
          <w:lang w:val="en-US"/>
        </w:rPr>
        <w:t>It is stated in [5] that t</w:t>
      </w:r>
      <w:r w:rsidR="00E76B7C" w:rsidRPr="00E76B7C">
        <w:rPr>
          <w:lang w:val="en-US"/>
        </w:rPr>
        <w:t>hese could be considered in a future revision as necessary.</w:t>
      </w:r>
      <w:r w:rsidR="000F6CBA">
        <w:rPr>
          <w:lang w:val="en-US"/>
        </w:rPr>
        <w:t xml:space="preserve"> </w:t>
      </w:r>
      <w:r w:rsidR="00720D95">
        <w:rPr>
          <w:lang w:val="en-US"/>
        </w:rPr>
        <w:t xml:space="preserve">The </w:t>
      </w:r>
      <w:proofErr w:type="gramStart"/>
      <w:r w:rsidR="00720D95">
        <w:rPr>
          <w:lang w:val="en-US"/>
        </w:rPr>
        <w:t>final outcome</w:t>
      </w:r>
      <w:proofErr w:type="gramEnd"/>
      <w:r w:rsidR="00720D95">
        <w:rPr>
          <w:lang w:val="en-US"/>
        </w:rPr>
        <w:t xml:space="preserve"> of the </w:t>
      </w:r>
      <w:r w:rsidR="00BC53DB">
        <w:rPr>
          <w:lang w:val="en-US"/>
        </w:rPr>
        <w:t xml:space="preserve">recent </w:t>
      </w:r>
      <w:r w:rsidR="00720D95">
        <w:rPr>
          <w:lang w:val="en-US"/>
        </w:rPr>
        <w:t>revision of the recommendation is described in [7].</w:t>
      </w:r>
    </w:p>
    <w:p w14:paraId="71F72FD3" w14:textId="7AFFA566" w:rsidR="00E76B7C" w:rsidRDefault="000F6CBA" w:rsidP="001F0C3F">
      <w:pPr>
        <w:pStyle w:val="BodyText"/>
        <w:rPr>
          <w:lang w:val="en-US"/>
        </w:rPr>
      </w:pPr>
      <w:r>
        <w:rPr>
          <w:lang w:val="en-US"/>
        </w:rPr>
        <w:t xml:space="preserve">Next revision of ECC Rec 74-01 [5] is expected </w:t>
      </w:r>
      <w:r w:rsidR="00603039">
        <w:rPr>
          <w:lang w:val="en-US"/>
        </w:rPr>
        <w:t>in 3 years’ time</w:t>
      </w:r>
      <w:r w:rsidR="00A71393">
        <w:rPr>
          <w:lang w:val="en-US"/>
        </w:rPr>
        <w:t xml:space="preserve"> according to the normal procedure</w:t>
      </w:r>
      <w:r w:rsidR="00603039">
        <w:rPr>
          <w:lang w:val="en-US"/>
        </w:rPr>
        <w:t xml:space="preserve">, </w:t>
      </w:r>
      <w:r w:rsidR="00971EA8">
        <w:rPr>
          <w:lang w:val="en-US"/>
        </w:rPr>
        <w:t xml:space="preserve">which means that </w:t>
      </w:r>
      <w:r w:rsidR="00B53F1C">
        <w:rPr>
          <w:lang w:val="en-US"/>
        </w:rPr>
        <w:t>ECC may initiate a work item for an update around 2021-22.</w:t>
      </w:r>
      <w:r w:rsidR="009B6905">
        <w:rPr>
          <w:lang w:val="en-US"/>
        </w:rPr>
        <w:t xml:space="preserve"> </w:t>
      </w:r>
      <w:r w:rsidR="004679CF">
        <w:rPr>
          <w:lang w:val="en-US"/>
        </w:rPr>
        <w:t xml:space="preserve">It is however possible to initiate work on such limits earlier if needed </w:t>
      </w:r>
      <w:r w:rsidR="00781465">
        <w:rPr>
          <w:lang w:val="en-US"/>
        </w:rPr>
        <w:t>for</w:t>
      </w:r>
      <w:r w:rsidR="003572D9">
        <w:rPr>
          <w:lang w:val="en-US"/>
        </w:rPr>
        <w:t xml:space="preserve"> mobile systems</w:t>
      </w:r>
      <w:r w:rsidR="004679CF">
        <w:rPr>
          <w:lang w:val="en-US"/>
        </w:rPr>
        <w:t>.</w:t>
      </w:r>
      <w:r w:rsidR="00812D2F">
        <w:rPr>
          <w:lang w:val="en-US"/>
        </w:rPr>
        <w:t xml:space="preserve"> </w:t>
      </w:r>
      <w:r w:rsidR="00B53F1C">
        <w:rPr>
          <w:lang w:val="en-US"/>
        </w:rPr>
        <w:t>It will be very important for the mobile industry to take part in such an effort and it is expected that ECC will liaise with 3GPP on the topic</w:t>
      </w:r>
      <w:r w:rsidR="00720D95">
        <w:rPr>
          <w:lang w:val="en-US"/>
        </w:rPr>
        <w:t xml:space="preserve"> during such a work item</w:t>
      </w:r>
      <w:r w:rsidR="00603039">
        <w:rPr>
          <w:lang w:val="en-US"/>
        </w:rPr>
        <w:t>.</w:t>
      </w:r>
      <w:r w:rsidR="007079CD">
        <w:rPr>
          <w:lang w:val="en-US"/>
        </w:rPr>
        <w:t xml:space="preserve"> </w:t>
      </w:r>
    </w:p>
    <w:p w14:paraId="131D7A7C" w14:textId="3B4BD177" w:rsidR="00AF1D15" w:rsidRDefault="00AF1D15" w:rsidP="00AF1D15">
      <w:pPr>
        <w:pStyle w:val="BodyText"/>
        <w:ind w:left="1985" w:hanging="1409"/>
        <w:rPr>
          <w:lang w:val="en-US"/>
        </w:rPr>
      </w:pPr>
      <w:r w:rsidRPr="00611BCD">
        <w:rPr>
          <w:b/>
          <w:lang w:val="en-US"/>
        </w:rPr>
        <w:t xml:space="preserve">Observation </w:t>
      </w:r>
      <w:r>
        <w:rPr>
          <w:b/>
          <w:lang w:val="en-US"/>
        </w:rPr>
        <w:t>2</w:t>
      </w:r>
      <w:r>
        <w:rPr>
          <w:lang w:val="en-US"/>
        </w:rPr>
        <w:t>:</w:t>
      </w:r>
      <w:r>
        <w:rPr>
          <w:lang w:val="en-US"/>
        </w:rPr>
        <w:tab/>
      </w:r>
      <w:r w:rsidR="00E20D32">
        <w:rPr>
          <w:lang w:val="en-US"/>
        </w:rPr>
        <w:t xml:space="preserve">While the European </w:t>
      </w:r>
      <w:r w:rsidR="00E20093">
        <w:rPr>
          <w:lang w:val="en-US"/>
        </w:rPr>
        <w:t>ECC</w:t>
      </w:r>
      <w:r>
        <w:rPr>
          <w:lang w:val="en-US"/>
        </w:rPr>
        <w:t xml:space="preserve"> </w:t>
      </w:r>
      <w:r w:rsidR="00E20093">
        <w:rPr>
          <w:lang w:val="en-US"/>
        </w:rPr>
        <w:t>R</w:t>
      </w:r>
      <w:r>
        <w:rPr>
          <w:lang w:val="en-US"/>
        </w:rPr>
        <w:t xml:space="preserve">ecommendation </w:t>
      </w:r>
      <w:r w:rsidR="00E20093">
        <w:rPr>
          <w:lang w:val="en-US"/>
        </w:rPr>
        <w:t xml:space="preserve">74-01 [5] </w:t>
      </w:r>
      <w:r>
        <w:rPr>
          <w:lang w:val="en-US"/>
        </w:rPr>
        <w:t>for spurious emissions now has specific provisions for AAS Base Stations, these do presently not cover the frequency range</w:t>
      </w:r>
      <w:r w:rsidR="00BC53DB">
        <w:rPr>
          <w:lang w:val="en-US"/>
        </w:rPr>
        <w:t xml:space="preserve"> 6-24.25 GHz.</w:t>
      </w:r>
      <w:r w:rsidR="00F666AB">
        <w:rPr>
          <w:lang w:val="en-US"/>
        </w:rPr>
        <w:t xml:space="preserve"> The mobile industry will need to provide input to ECC for a future inclusion of that frequency range </w:t>
      </w:r>
      <w:r w:rsidR="00E20093">
        <w:rPr>
          <w:lang w:val="en-US"/>
        </w:rPr>
        <w:t>for AAS BS in the recommendation</w:t>
      </w:r>
      <w:r w:rsidR="00012560">
        <w:rPr>
          <w:lang w:val="en-US"/>
        </w:rPr>
        <w:t xml:space="preserve">. </w:t>
      </w:r>
      <w:r w:rsidR="00D175BE">
        <w:rPr>
          <w:lang w:val="en-US"/>
        </w:rPr>
        <w:t>For non-AAS BS</w:t>
      </w:r>
      <w:r w:rsidR="00012560">
        <w:rPr>
          <w:lang w:val="en-US"/>
        </w:rPr>
        <w:t>, general Category B limits apply in Europe.</w:t>
      </w:r>
    </w:p>
    <w:p w14:paraId="6EB8F54B" w14:textId="5E0EB4B2" w:rsidR="001F0C3F" w:rsidRPr="001F0C3F" w:rsidRDefault="001F0C3F" w:rsidP="001F0C3F">
      <w:pPr>
        <w:pStyle w:val="BodyText"/>
        <w:rPr>
          <w:lang w:val="en-US"/>
        </w:rPr>
      </w:pPr>
      <w:r w:rsidRPr="001F0C3F">
        <w:rPr>
          <w:lang w:val="en-US"/>
        </w:rPr>
        <w:t>The Category</w:t>
      </w:r>
      <w:r>
        <w:rPr>
          <w:lang w:val="en-US"/>
        </w:rPr>
        <w:t xml:space="preserve"> B</w:t>
      </w:r>
      <w:r w:rsidRPr="001F0C3F">
        <w:rPr>
          <w:lang w:val="en-US"/>
        </w:rPr>
        <w:t xml:space="preserve"> limits applicable for AAS BS for below 6 GHz and above 24.25 GHz are shown in Figure 1 and 2 respectively.</w:t>
      </w:r>
      <w:r w:rsidR="007155EC">
        <w:rPr>
          <w:lang w:val="en-US"/>
        </w:rPr>
        <w:t xml:space="preserve"> It should be noted that the limits below 6 GHz are equivalent to the conducted </w:t>
      </w:r>
      <w:r w:rsidR="00332075">
        <w:rPr>
          <w:lang w:val="en-US"/>
        </w:rPr>
        <w:t>limits</w:t>
      </w:r>
      <w:r w:rsidR="007155EC">
        <w:rPr>
          <w:lang w:val="en-US"/>
        </w:rPr>
        <w:t xml:space="preserve"> in the same </w:t>
      </w:r>
      <w:r w:rsidR="00332075">
        <w:rPr>
          <w:lang w:val="en-US"/>
        </w:rPr>
        <w:t>freqeuncy range, while above 24.25 GHz, there are several changes made in the updated European regulation.</w:t>
      </w:r>
    </w:p>
    <w:p w14:paraId="0ADDDF40" w14:textId="5980EB51" w:rsidR="00625BED" w:rsidRPr="002E5C17" w:rsidRDefault="00D1712C" w:rsidP="002E5C17">
      <w:pPr>
        <w:pStyle w:val="BodyText"/>
        <w:keepNext/>
        <w:ind w:left="1409" w:hanging="1409"/>
        <w:jc w:val="center"/>
        <w:rPr>
          <w:lang w:val="en-US"/>
        </w:rPr>
      </w:pPr>
      <w:r>
        <w:rPr>
          <w:lang w:val="en-US"/>
        </w:rPr>
        <w:pict w14:anchorId="2239C0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8pt;height:104.25pt;mso-left-percent:-10001;mso-top-percent:-10001;mso-position-horizontal:absolute;mso-position-horizontal-relative:char;mso-position-vertical:absolute;mso-position-vertical-relative:line;mso-left-percent:-10001;mso-top-percent:-10001">
            <v:imagedata r:id="rId8" o:title=""/>
          </v:shape>
        </w:pict>
      </w:r>
    </w:p>
    <w:p w14:paraId="285492F3" w14:textId="1246850F" w:rsidR="009029E4" w:rsidRDefault="002E5C17" w:rsidP="009029E4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9029E4">
        <w:t xml:space="preserve">: Category B spurious domain emission limits </w:t>
      </w:r>
      <w:r w:rsidR="009029E4" w:rsidRPr="007349DE">
        <w:t xml:space="preserve">for Base Stations using AAS and beamforming operating </w:t>
      </w:r>
      <w:r w:rsidR="009029E4">
        <w:t xml:space="preserve">below 6 </w:t>
      </w:r>
      <w:r w:rsidR="009029E4" w:rsidRPr="007349DE">
        <w:t>GHz</w:t>
      </w:r>
      <w:r w:rsidR="009029E4">
        <w:t xml:space="preserve"> (from [5])</w:t>
      </w:r>
    </w:p>
    <w:p w14:paraId="6003E534" w14:textId="524125D1" w:rsidR="000C279C" w:rsidRPr="002E5C17" w:rsidRDefault="000C279C" w:rsidP="002E5C17">
      <w:pPr>
        <w:pStyle w:val="Caption"/>
        <w:jc w:val="center"/>
        <w:rPr>
          <w:lang w:val="en-US"/>
        </w:rPr>
      </w:pPr>
    </w:p>
    <w:p w14:paraId="64F39992" w14:textId="77777777" w:rsidR="00652F2A" w:rsidRDefault="00D1712C" w:rsidP="00652F2A">
      <w:pPr>
        <w:pStyle w:val="BodyText"/>
        <w:keepNext/>
        <w:ind w:left="1409" w:hanging="1409"/>
        <w:jc w:val="center"/>
        <w:rPr>
          <w:noProof/>
        </w:rPr>
      </w:pPr>
      <w:r>
        <w:rPr>
          <w:noProof/>
        </w:rPr>
        <w:pict w14:anchorId="11BA10D7">
          <v:shape id="Picture 1" o:spid="_x0000_i1026" type="#_x0000_t75" style="width:391.7pt;height:226.35pt;visibility:visible;mso-wrap-style:square">
            <v:imagedata r:id="rId9" o:title=""/>
          </v:shape>
        </w:pict>
      </w:r>
    </w:p>
    <w:p w14:paraId="5AA81848" w14:textId="32A0FDCD" w:rsidR="00652F2A" w:rsidRDefault="00652F2A" w:rsidP="00652F2A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E5C17">
        <w:rPr>
          <w:noProof/>
        </w:rPr>
        <w:t>2</w:t>
      </w:r>
      <w:r>
        <w:fldChar w:fldCharType="end"/>
      </w:r>
      <w:r w:rsidR="00E76726">
        <w:t xml:space="preserve">: </w:t>
      </w:r>
      <w:r w:rsidR="007349DE" w:rsidRPr="007349DE">
        <w:t>Specific</w:t>
      </w:r>
      <w:r w:rsidR="009029E4">
        <w:t xml:space="preserve"> Category B</w:t>
      </w:r>
      <w:r w:rsidR="007349DE" w:rsidRPr="007349DE">
        <w:t xml:space="preserve"> mask for spurious domain emissions for Base Stations using AAS and beamforming operating above 24.25 GHz</w:t>
      </w:r>
      <w:r w:rsidR="007349DE">
        <w:t xml:space="preserve"> (from [5]</w:t>
      </w:r>
      <w:r w:rsidR="005A6757">
        <w:t>)</w:t>
      </w:r>
    </w:p>
    <w:p w14:paraId="2811C8ED" w14:textId="77777777" w:rsidR="00340C03" w:rsidRDefault="00340C03" w:rsidP="00332075">
      <w:pPr>
        <w:pStyle w:val="BodyText"/>
      </w:pPr>
    </w:p>
    <w:p w14:paraId="4CEE0964" w14:textId="7156C007" w:rsidR="007349DE" w:rsidRDefault="00332075" w:rsidP="00332075">
      <w:pPr>
        <w:pStyle w:val="BodyText"/>
      </w:pPr>
      <w:r>
        <w:lastRenderedPageBreak/>
        <w:t>For the updated limits above 24.25 GHz in Figure 2, the following differences compared to the legacy conducted limits should be noted:</w:t>
      </w:r>
    </w:p>
    <w:p w14:paraId="3B89E6DD" w14:textId="30FA29E6" w:rsidR="00332075" w:rsidRDefault="00270897" w:rsidP="008B6A5C">
      <w:pPr>
        <w:numPr>
          <w:ilvl w:val="0"/>
          <w:numId w:val="16"/>
        </w:numPr>
        <w:spacing w:after="120"/>
        <w:ind w:left="714" w:hanging="357"/>
      </w:pPr>
      <w:r>
        <w:t xml:space="preserve">There is a relaxation of limits </w:t>
      </w:r>
      <w:r w:rsidR="00A8011A">
        <w:t>close to the transmitted carrier</w:t>
      </w:r>
      <w:r w:rsidR="00F572EE">
        <w:t>(s)</w:t>
      </w:r>
      <w:r w:rsidR="002415A6">
        <w:t xml:space="preserve"> in the spurious domain, but the “mask” defined is </w:t>
      </w:r>
      <w:r w:rsidR="00673215" w:rsidRPr="00F572EE">
        <w:rPr>
          <w:i/>
        </w:rPr>
        <w:t>operating band centric</w:t>
      </w:r>
      <w:r w:rsidR="00673215">
        <w:t xml:space="preserve"> instead of </w:t>
      </w:r>
      <w:r w:rsidR="00673215" w:rsidRPr="00F572EE">
        <w:rPr>
          <w:i/>
        </w:rPr>
        <w:t>carrier centric</w:t>
      </w:r>
      <w:r w:rsidR="00673215">
        <w:t>.</w:t>
      </w:r>
      <w:r w:rsidR="00673215">
        <w:br/>
        <w:t>NOTE: Such on operating band centric mask was allowed also previously (and implemented in 3GPP)</w:t>
      </w:r>
      <w:r w:rsidR="00D40801">
        <w:t>,</w:t>
      </w:r>
      <w:r w:rsidR="00673215">
        <w:t xml:space="preserve"> but it was not explicitly </w:t>
      </w:r>
      <w:r w:rsidR="00CA6EBE">
        <w:t>described</w:t>
      </w:r>
      <w:r w:rsidR="00673215">
        <w:t xml:space="preserve"> in the recommendation.</w:t>
      </w:r>
    </w:p>
    <w:p w14:paraId="3E65F035" w14:textId="3C1FD38B" w:rsidR="00673215" w:rsidRDefault="00476FC0" w:rsidP="008B6A5C">
      <w:pPr>
        <w:numPr>
          <w:ilvl w:val="0"/>
          <w:numId w:val="16"/>
        </w:numPr>
        <w:spacing w:after="120"/>
        <w:ind w:left="714" w:hanging="357"/>
      </w:pPr>
      <w:r>
        <w:t xml:space="preserve">The reference BW for the limits is 10 MHz, changed from the previous </w:t>
      </w:r>
      <w:r w:rsidR="008B6A5C">
        <w:t xml:space="preserve">1 </w:t>
      </w:r>
      <w:proofErr w:type="spellStart"/>
      <w:r w:rsidR="008B6A5C">
        <w:t>MHz.</w:t>
      </w:r>
      <w:proofErr w:type="spellEnd"/>
    </w:p>
    <w:p w14:paraId="2C033CAF" w14:textId="75F3EAAF" w:rsidR="008B6A5C" w:rsidRDefault="008B6A5C" w:rsidP="008B6A5C">
      <w:pPr>
        <w:numPr>
          <w:ilvl w:val="0"/>
          <w:numId w:val="16"/>
        </w:numPr>
        <w:spacing w:after="120"/>
        <w:ind w:left="714" w:hanging="357"/>
      </w:pPr>
      <w:r>
        <w:t>The limits at large offsets from the operating band (more than Fe) is</w:t>
      </w:r>
      <w:r w:rsidR="009477B5">
        <w:t xml:space="preserve"> -20 </w:t>
      </w:r>
      <w:r w:rsidR="00CC4303">
        <w:t>dBm</w:t>
      </w:r>
      <w:r w:rsidR="009477B5">
        <w:t xml:space="preserve">/10 MHz, which is equivalent </w:t>
      </w:r>
      <w:r w:rsidR="00CC4303">
        <w:t xml:space="preserve">(for broadband emissions) </w:t>
      </w:r>
      <w:r w:rsidR="009477B5">
        <w:t xml:space="preserve">to </w:t>
      </w:r>
      <w:r w:rsidR="00CC4303">
        <w:t xml:space="preserve">the </w:t>
      </w:r>
      <w:r w:rsidR="009477B5">
        <w:t xml:space="preserve">conducted limits of -30 dBm/1 </w:t>
      </w:r>
      <w:proofErr w:type="spellStart"/>
      <w:r w:rsidR="009477B5">
        <w:t>MHz.</w:t>
      </w:r>
      <w:proofErr w:type="spellEnd"/>
    </w:p>
    <w:p w14:paraId="37E00678" w14:textId="5F4FB2D3" w:rsidR="009477B5" w:rsidRDefault="00EF4263" w:rsidP="008B6A5C">
      <w:pPr>
        <w:numPr>
          <w:ilvl w:val="0"/>
          <w:numId w:val="16"/>
        </w:numPr>
        <w:spacing w:after="120"/>
        <w:ind w:left="714" w:hanging="357"/>
      </w:pPr>
      <w:r>
        <w:t>The limits at smaller offsets from the operating band</w:t>
      </w:r>
      <w:r w:rsidR="004F7418">
        <w:t xml:space="preserve"> and inside the band allow </w:t>
      </w:r>
      <w:r w:rsidR="001B0782">
        <w:t xml:space="preserve">in many cases </w:t>
      </w:r>
      <w:r w:rsidR="004F7418">
        <w:t xml:space="preserve">for higher levels than </w:t>
      </w:r>
      <w:r w:rsidR="001B0782">
        <w:t>the conducted limits</w:t>
      </w:r>
      <w:r w:rsidR="001B0782">
        <w:br/>
        <w:t>NOTE: There is a “reference bandwidth mask” defined for conducted limits</w:t>
      </w:r>
      <w:r w:rsidR="00683950">
        <w:t xml:space="preserve"> which </w:t>
      </w:r>
      <w:r w:rsidR="00CA6EBE">
        <w:t>allows</w:t>
      </w:r>
      <w:r w:rsidR="00683950">
        <w:t xml:space="preserve"> up to a 15 dB relaxation</w:t>
      </w:r>
      <w:r w:rsidR="00D40801">
        <w:t xml:space="preserve">, but it is not expressed using the new 10 MHz </w:t>
      </w:r>
      <w:r w:rsidR="00577687">
        <w:t xml:space="preserve">reference </w:t>
      </w:r>
      <w:r w:rsidR="00D40801">
        <w:t xml:space="preserve">bandwidth and </w:t>
      </w:r>
      <w:r w:rsidR="00CA6EBE">
        <w:t xml:space="preserve">the </w:t>
      </w:r>
      <w:r w:rsidR="00D40801">
        <w:t>offsets</w:t>
      </w:r>
      <w:r w:rsidR="00997310">
        <w:t xml:space="preserve"> are</w:t>
      </w:r>
      <w:r w:rsidR="00D40801">
        <w:t xml:space="preserve"> </w:t>
      </w:r>
      <w:r w:rsidR="00997310" w:rsidRPr="00997310">
        <w:rPr>
          <w:i/>
        </w:rPr>
        <w:t>carrier centric</w:t>
      </w:r>
      <w:r w:rsidR="00D40801">
        <w:t>.</w:t>
      </w:r>
    </w:p>
    <w:p w14:paraId="04BFEF28" w14:textId="0F8527C8" w:rsidR="00CA17CD" w:rsidRDefault="00CA17CD" w:rsidP="00CA17CD">
      <w:pPr>
        <w:pStyle w:val="Heading2"/>
        <w:rPr>
          <w:lang w:val="en-US"/>
        </w:rPr>
      </w:pPr>
      <w:r>
        <w:rPr>
          <w:lang w:val="en-US"/>
        </w:rPr>
        <w:t>Other regional regulation</w:t>
      </w:r>
    </w:p>
    <w:p w14:paraId="3266ED77" w14:textId="77777777" w:rsidR="00DD2AE9" w:rsidRDefault="001A68E1" w:rsidP="00CA17CD">
      <w:pPr>
        <w:pStyle w:val="BodyText"/>
        <w:rPr>
          <w:lang w:val="en-US"/>
        </w:rPr>
      </w:pPr>
      <w:r>
        <w:rPr>
          <w:lang w:val="en-US"/>
        </w:rPr>
        <w:t>While there are additional countries outside of Europe that apply Category B limits, there is a g</w:t>
      </w:r>
      <w:r w:rsidR="002450A1">
        <w:rPr>
          <w:lang w:val="en-US"/>
        </w:rPr>
        <w:t xml:space="preserve">eneral applicability </w:t>
      </w:r>
      <w:r>
        <w:rPr>
          <w:lang w:val="en-US"/>
        </w:rPr>
        <w:t xml:space="preserve">of </w:t>
      </w:r>
      <w:r w:rsidR="002450A1">
        <w:rPr>
          <w:lang w:val="en-US"/>
        </w:rPr>
        <w:t>Category A</w:t>
      </w:r>
      <w:r>
        <w:rPr>
          <w:lang w:val="en-US"/>
        </w:rPr>
        <w:t xml:space="preserve"> limits</w:t>
      </w:r>
      <w:r w:rsidR="00400B57">
        <w:rPr>
          <w:lang w:val="en-US"/>
        </w:rPr>
        <w:t xml:space="preserve">, where the only variation with the operation frequency is the </w:t>
      </w:r>
      <w:r w:rsidR="00F7616A">
        <w:rPr>
          <w:lang w:val="en-US"/>
        </w:rPr>
        <w:t xml:space="preserve">recommended frequency range for measurements, as shown in </w:t>
      </w:r>
      <w:r w:rsidR="00DD2AE9">
        <w:rPr>
          <w:lang w:val="en-US"/>
        </w:rPr>
        <w:fldChar w:fldCharType="begin"/>
      </w:r>
      <w:r w:rsidR="00DD2AE9">
        <w:rPr>
          <w:lang w:val="en-US"/>
        </w:rPr>
        <w:instrText xml:space="preserve"> REF _Ref14426966 \h </w:instrText>
      </w:r>
      <w:r w:rsidR="00DD2AE9">
        <w:rPr>
          <w:lang w:val="en-US"/>
        </w:rPr>
      </w:r>
      <w:r w:rsidR="00DD2AE9">
        <w:rPr>
          <w:lang w:val="en-US"/>
        </w:rPr>
        <w:fldChar w:fldCharType="separate"/>
      </w:r>
      <w:r w:rsidR="00DD2AE9">
        <w:t xml:space="preserve">Table </w:t>
      </w:r>
      <w:r w:rsidR="00DD2AE9">
        <w:rPr>
          <w:noProof/>
        </w:rPr>
        <w:t>1</w:t>
      </w:r>
      <w:r w:rsidR="00DD2AE9">
        <w:rPr>
          <w:lang w:val="en-US"/>
        </w:rPr>
        <w:fldChar w:fldCharType="end"/>
      </w:r>
      <w:r w:rsidR="002450A1">
        <w:rPr>
          <w:lang w:val="en-US"/>
        </w:rPr>
        <w:t xml:space="preserve">. </w:t>
      </w:r>
    </w:p>
    <w:p w14:paraId="0253CD65" w14:textId="69FD898E" w:rsidR="00CA17CD" w:rsidRDefault="00D14F22" w:rsidP="00CA17CD">
      <w:pPr>
        <w:pStyle w:val="BodyText"/>
        <w:rPr>
          <w:lang w:val="en-US"/>
        </w:rPr>
      </w:pPr>
      <w:r>
        <w:rPr>
          <w:lang w:val="en-US"/>
        </w:rPr>
        <w:t xml:space="preserve">As an example, </w:t>
      </w:r>
      <w:r w:rsidR="002450A1">
        <w:rPr>
          <w:lang w:val="en-US"/>
        </w:rPr>
        <w:t xml:space="preserve">Japan develops specific </w:t>
      </w:r>
      <w:r w:rsidR="00C72E5B">
        <w:rPr>
          <w:lang w:val="en-US"/>
        </w:rPr>
        <w:t xml:space="preserve">unwanted emission </w:t>
      </w:r>
      <w:r w:rsidR="002450A1">
        <w:rPr>
          <w:lang w:val="en-US"/>
        </w:rPr>
        <w:t>regulation for new bands</w:t>
      </w:r>
      <w:r>
        <w:rPr>
          <w:lang w:val="en-US"/>
        </w:rPr>
        <w:t xml:space="preserve">, but has no </w:t>
      </w:r>
      <w:r w:rsidR="00BE442A">
        <w:rPr>
          <w:lang w:val="en-US"/>
        </w:rPr>
        <w:t>generic</w:t>
      </w:r>
      <w:r>
        <w:rPr>
          <w:lang w:val="en-US"/>
        </w:rPr>
        <w:t xml:space="preserve"> regulation in frequency ranges where no bands are presently defined, such as 7-24 </w:t>
      </w:r>
      <w:r w:rsidRPr="00C61C74">
        <w:rPr>
          <w:lang w:val="en-US"/>
        </w:rPr>
        <w:t>GHz</w:t>
      </w:r>
      <w:r w:rsidR="002450A1" w:rsidRPr="00C61C74">
        <w:rPr>
          <w:lang w:val="en-US"/>
        </w:rPr>
        <w:t>.</w:t>
      </w:r>
      <w:r w:rsidRPr="00C61C74">
        <w:rPr>
          <w:lang w:val="en-US"/>
        </w:rPr>
        <w:t xml:space="preserve"> The same is true for </w:t>
      </w:r>
      <w:r w:rsidR="002450A1" w:rsidRPr="00C61C74">
        <w:rPr>
          <w:lang w:val="en-US"/>
        </w:rPr>
        <w:t>FCC</w:t>
      </w:r>
      <w:r w:rsidRPr="00C61C74">
        <w:rPr>
          <w:lang w:val="en-US"/>
        </w:rPr>
        <w:t>, which</w:t>
      </w:r>
      <w:r w:rsidR="002450A1" w:rsidRPr="00C61C74">
        <w:rPr>
          <w:lang w:val="en-US"/>
        </w:rPr>
        <w:t xml:space="preserve"> has specific emission limits for each band</w:t>
      </w:r>
      <w:r w:rsidR="00AF0ACE" w:rsidRPr="00C61C74">
        <w:rPr>
          <w:lang w:val="en-US"/>
        </w:rPr>
        <w:t xml:space="preserve"> and type of service</w:t>
      </w:r>
      <w:r w:rsidR="002450A1" w:rsidRPr="00C61C74">
        <w:rPr>
          <w:lang w:val="en-US"/>
        </w:rPr>
        <w:t xml:space="preserve">, </w:t>
      </w:r>
      <w:r w:rsidR="00AF0ACE" w:rsidRPr="00C61C74">
        <w:rPr>
          <w:lang w:val="en-US"/>
        </w:rPr>
        <w:t xml:space="preserve">but </w:t>
      </w:r>
      <w:r w:rsidR="002450A1" w:rsidRPr="00C61C74">
        <w:rPr>
          <w:lang w:val="en-US"/>
        </w:rPr>
        <w:t xml:space="preserve">no </w:t>
      </w:r>
      <w:r w:rsidR="00430CA0" w:rsidRPr="00C61C74">
        <w:rPr>
          <w:lang w:val="en-US"/>
        </w:rPr>
        <w:t>generic</w:t>
      </w:r>
      <w:r w:rsidR="002450A1" w:rsidRPr="00C61C74">
        <w:rPr>
          <w:lang w:val="en-US"/>
        </w:rPr>
        <w:t xml:space="preserve"> </w:t>
      </w:r>
      <w:r w:rsidR="00C72E5B" w:rsidRPr="00C61C74">
        <w:rPr>
          <w:lang w:val="en-US"/>
        </w:rPr>
        <w:t xml:space="preserve">unwanted emission </w:t>
      </w:r>
      <w:r w:rsidR="002450A1" w:rsidRPr="00C61C74">
        <w:rPr>
          <w:lang w:val="en-US"/>
        </w:rPr>
        <w:t>regulation of emissions</w:t>
      </w:r>
      <w:r w:rsidR="00AF0ACE" w:rsidRPr="00C61C74">
        <w:rPr>
          <w:lang w:val="en-US"/>
        </w:rPr>
        <w:t xml:space="preserve"> that would </w:t>
      </w:r>
      <w:r w:rsidR="00C362F1" w:rsidRPr="00C61C74">
        <w:rPr>
          <w:lang w:val="en-US"/>
        </w:rPr>
        <w:t xml:space="preserve">presently </w:t>
      </w:r>
      <w:r w:rsidR="00AF0ACE" w:rsidRPr="00C61C74">
        <w:rPr>
          <w:lang w:val="en-US"/>
        </w:rPr>
        <w:t>apply in 7-24 GHz</w:t>
      </w:r>
      <w:r w:rsidR="00C362F1" w:rsidRPr="00C61C74">
        <w:rPr>
          <w:lang w:val="en-US"/>
        </w:rPr>
        <w:t xml:space="preserve"> for mobile service</w:t>
      </w:r>
      <w:r w:rsidR="002450A1" w:rsidRPr="00C61C74">
        <w:rPr>
          <w:lang w:val="en-US"/>
        </w:rPr>
        <w:t>.</w:t>
      </w:r>
    </w:p>
    <w:p w14:paraId="4E381C09" w14:textId="2CCE569A" w:rsidR="004B0AD7" w:rsidRDefault="004B0AD7" w:rsidP="004B0AD7">
      <w:pPr>
        <w:pStyle w:val="BodyText"/>
        <w:ind w:left="1985" w:hanging="1409"/>
        <w:rPr>
          <w:lang w:val="en-US"/>
        </w:rPr>
      </w:pPr>
      <w:r w:rsidRPr="00611BCD">
        <w:rPr>
          <w:b/>
          <w:lang w:val="en-US"/>
        </w:rPr>
        <w:t xml:space="preserve">Observation </w:t>
      </w:r>
      <w:r>
        <w:rPr>
          <w:b/>
          <w:lang w:val="en-US"/>
        </w:rPr>
        <w:t>3</w:t>
      </w:r>
      <w:r>
        <w:rPr>
          <w:lang w:val="en-US"/>
        </w:rPr>
        <w:t>:</w:t>
      </w:r>
      <w:r>
        <w:rPr>
          <w:lang w:val="en-US"/>
        </w:rPr>
        <w:tab/>
      </w:r>
      <w:r w:rsidR="00E00A05">
        <w:rPr>
          <w:lang w:val="en-US"/>
        </w:rPr>
        <w:t xml:space="preserve">In countries that apply Category A emission limits, there is no other generic </w:t>
      </w:r>
      <w:r w:rsidR="00D175BE">
        <w:rPr>
          <w:lang w:val="en-US"/>
        </w:rPr>
        <w:t>unwanted emission limits</w:t>
      </w:r>
      <w:r w:rsidR="00B67A94">
        <w:rPr>
          <w:lang w:val="en-US"/>
        </w:rPr>
        <w:t xml:space="preserve"> specified for</w:t>
      </w:r>
      <w:r w:rsidR="00C61108">
        <w:rPr>
          <w:lang w:val="en-US"/>
        </w:rPr>
        <w:t xml:space="preserve"> the 7-24 GHz frequency range.</w:t>
      </w:r>
    </w:p>
    <w:p w14:paraId="11086272" w14:textId="2FEB7EFA" w:rsidR="00EB49F9" w:rsidRDefault="00EB49F9" w:rsidP="00B445A4">
      <w:pPr>
        <w:pStyle w:val="Heading1"/>
        <w:rPr>
          <w:lang w:val="en-US"/>
        </w:rPr>
      </w:pPr>
      <w:r>
        <w:rPr>
          <w:lang w:val="en-US"/>
        </w:rPr>
        <w:t>Possible</w:t>
      </w:r>
      <w:r w:rsidR="007A6FBF">
        <w:rPr>
          <w:lang w:val="en-US"/>
        </w:rPr>
        <w:t xml:space="preserve"> </w:t>
      </w:r>
      <w:r w:rsidR="00FD5D77">
        <w:rPr>
          <w:lang w:val="en-US"/>
        </w:rPr>
        <w:t xml:space="preserve">new </w:t>
      </w:r>
      <w:r w:rsidR="007A6FBF">
        <w:rPr>
          <w:lang w:val="en-US"/>
        </w:rPr>
        <w:t xml:space="preserve">regulation in 7-24 </w:t>
      </w:r>
      <w:r w:rsidR="00B44BB0">
        <w:rPr>
          <w:lang w:val="en-US"/>
        </w:rPr>
        <w:t>GHz</w:t>
      </w:r>
    </w:p>
    <w:p w14:paraId="3E87047A" w14:textId="7164CFDD" w:rsidR="007A6FBF" w:rsidRPr="006957E6" w:rsidRDefault="009168ED" w:rsidP="00BB7634">
      <w:pPr>
        <w:pStyle w:val="BodyText"/>
      </w:pPr>
      <w:r w:rsidRPr="009168ED">
        <w:rPr>
          <w:lang w:val="en-US"/>
        </w:rPr>
        <w:t>As observed above</w:t>
      </w:r>
      <w:r>
        <w:rPr>
          <w:lang w:val="en-US"/>
        </w:rPr>
        <w:t xml:space="preserve">, </w:t>
      </w:r>
      <w:r w:rsidR="00BB7634">
        <w:rPr>
          <w:lang w:val="en-US"/>
        </w:rPr>
        <w:t xml:space="preserve">mobile </w:t>
      </w:r>
      <w:r>
        <w:rPr>
          <w:lang w:val="en-US"/>
        </w:rPr>
        <w:t>industry input will be needed for the coming update of ERC Recommendation 74-01</w:t>
      </w:r>
      <w:r w:rsidR="00B44BB0">
        <w:rPr>
          <w:lang w:val="en-US"/>
        </w:rPr>
        <w:t xml:space="preserve"> </w:t>
      </w:r>
      <w:r w:rsidR="006957E6">
        <w:rPr>
          <w:lang w:val="en-US"/>
        </w:rPr>
        <w:t xml:space="preserve">[5] </w:t>
      </w:r>
      <w:r w:rsidR="00B44BB0">
        <w:rPr>
          <w:lang w:val="en-US"/>
        </w:rPr>
        <w:t xml:space="preserve">to </w:t>
      </w:r>
      <w:r w:rsidR="00107C03">
        <w:rPr>
          <w:lang w:val="en-US"/>
        </w:rPr>
        <w:t xml:space="preserve">add limits for </w:t>
      </w:r>
      <w:r w:rsidR="00EF0B83">
        <w:rPr>
          <w:lang w:val="en-US"/>
        </w:rPr>
        <w:t>AAS BS in 6-24.25 GHz.</w:t>
      </w:r>
      <w:r w:rsidR="00AE5ECE">
        <w:rPr>
          <w:lang w:val="en-US"/>
        </w:rPr>
        <w:t xml:space="preserve"> Similar to the limits developed for above 24.25 GHz, the general Category B limit of </w:t>
      </w:r>
      <w:r w:rsidR="006957E6">
        <w:rPr>
          <w:lang w:val="en-US"/>
        </w:rPr>
        <w:noBreakHyphen/>
        <w:t xml:space="preserve">30 dBm may have to remain, but the reference bandwidth can possibly be </w:t>
      </w:r>
      <w:proofErr w:type="gramStart"/>
      <w:r w:rsidR="006957E6">
        <w:rPr>
          <w:lang w:val="en-US"/>
        </w:rPr>
        <w:t>changed</w:t>
      </w:r>
      <w:proofErr w:type="gramEnd"/>
      <w:r w:rsidR="006957E6">
        <w:rPr>
          <w:lang w:val="en-US"/>
        </w:rPr>
        <w:t xml:space="preserve"> and the limit correspondingly scaled. Note that in the present recommendation [5], such a changed bandwidth was allowed down to 18</w:t>
      </w:r>
      <w:r w:rsidR="00CB670F">
        <w:rPr>
          <w:lang w:val="en-US"/>
        </w:rPr>
        <w:t xml:space="preserve"> </w:t>
      </w:r>
      <w:bookmarkStart w:id="2" w:name="_GoBack"/>
      <w:bookmarkEnd w:id="2"/>
      <w:r w:rsidR="006957E6">
        <w:t>GHz.</w:t>
      </w:r>
    </w:p>
    <w:p w14:paraId="3F069307" w14:textId="3641BF6D" w:rsidR="009168ED" w:rsidRDefault="00C86CEF" w:rsidP="00DC392E">
      <w:pPr>
        <w:pStyle w:val="BodyText"/>
        <w:rPr>
          <w:lang w:val="en-US"/>
        </w:rPr>
      </w:pPr>
      <w:r>
        <w:rPr>
          <w:lang w:val="en-US"/>
        </w:rPr>
        <w:t xml:space="preserve">The new limits in 7-24 GHz could in this way use a similar approach as for above 24.25 GHz, </w:t>
      </w:r>
      <w:proofErr w:type="gramStart"/>
      <w:r>
        <w:rPr>
          <w:lang w:val="en-US"/>
        </w:rPr>
        <w:t xml:space="preserve">in particular </w:t>
      </w:r>
      <w:r w:rsidR="0050102F">
        <w:rPr>
          <w:lang w:val="en-US"/>
        </w:rPr>
        <w:t>in</w:t>
      </w:r>
      <w:proofErr w:type="gramEnd"/>
      <w:r w:rsidR="0050102F">
        <w:rPr>
          <w:lang w:val="en-US"/>
        </w:rPr>
        <w:t xml:space="preserve"> the upper part. This means a</w:t>
      </w:r>
      <w:r>
        <w:rPr>
          <w:lang w:val="en-US"/>
        </w:rPr>
        <w:t xml:space="preserve">pplying a larger reference </w:t>
      </w:r>
      <w:r w:rsidR="0050102F">
        <w:rPr>
          <w:lang w:val="en-US"/>
        </w:rPr>
        <w:t>bandwidth together with an explicit</w:t>
      </w:r>
      <w:r w:rsidR="00E805DC">
        <w:rPr>
          <w:lang w:val="en-US"/>
        </w:rPr>
        <w:t xml:space="preserve"> operating band centric mask.</w:t>
      </w:r>
      <w:r w:rsidR="001A0944">
        <w:rPr>
          <w:lang w:val="en-US"/>
        </w:rPr>
        <w:t xml:space="preserve"> At lower frequencies closer to 6 GHz, an in-between solution</w:t>
      </w:r>
      <w:r w:rsidR="007431A6">
        <w:rPr>
          <w:lang w:val="en-US"/>
        </w:rPr>
        <w:t xml:space="preserve"> giving a </w:t>
      </w:r>
      <w:r w:rsidR="009259D0">
        <w:rPr>
          <w:lang w:val="en-US"/>
        </w:rPr>
        <w:t>smoother</w:t>
      </w:r>
      <w:r w:rsidR="007431A6">
        <w:rPr>
          <w:lang w:val="en-US"/>
        </w:rPr>
        <w:t xml:space="preserve"> </w:t>
      </w:r>
      <w:r w:rsidR="00704E94">
        <w:rPr>
          <w:lang w:val="en-US"/>
        </w:rPr>
        <w:t>transition to the limits in Figure 1 may be needed.</w:t>
      </w:r>
      <w:r w:rsidR="00A91279">
        <w:rPr>
          <w:lang w:val="en-US"/>
        </w:rPr>
        <w:t xml:space="preserve"> </w:t>
      </w:r>
      <w:r w:rsidR="003B70C1">
        <w:rPr>
          <w:lang w:val="en-US"/>
        </w:rPr>
        <w:t>Further</w:t>
      </w:r>
      <w:r w:rsidR="00A91279">
        <w:rPr>
          <w:lang w:val="en-US"/>
        </w:rPr>
        <w:t xml:space="preserve"> studies will be needed for what</w:t>
      </w:r>
      <w:r w:rsidR="003B70C1">
        <w:rPr>
          <w:lang w:val="en-US"/>
        </w:rPr>
        <w:t xml:space="preserve"> reference bandwidth that are possible below 18 GHz</w:t>
      </w:r>
      <w:r w:rsidR="00EB1E81">
        <w:rPr>
          <w:lang w:val="en-US"/>
        </w:rPr>
        <w:t>, also from a victim point of view.</w:t>
      </w:r>
    </w:p>
    <w:p w14:paraId="08632327" w14:textId="57F06D89" w:rsidR="009259D0" w:rsidRPr="009168ED" w:rsidRDefault="009259D0" w:rsidP="00DC392E">
      <w:pPr>
        <w:pStyle w:val="BodyText"/>
        <w:rPr>
          <w:lang w:val="en-US"/>
        </w:rPr>
      </w:pPr>
      <w:r>
        <w:rPr>
          <w:lang w:val="en-US"/>
        </w:rPr>
        <w:t xml:space="preserve">The freqeuncy offsets needed for the operating band centric mask </w:t>
      </w:r>
      <w:r w:rsidR="00255CC9">
        <w:rPr>
          <w:lang w:val="en-US"/>
        </w:rPr>
        <w:t xml:space="preserve">may be different from the ones above 24.25 GHz. The filter study in [8] gives </w:t>
      </w:r>
      <w:r w:rsidR="005957D3">
        <w:rPr>
          <w:lang w:val="en-US"/>
        </w:rPr>
        <w:t>some first indicative</w:t>
      </w:r>
      <w:r w:rsidR="00255CC9">
        <w:rPr>
          <w:lang w:val="en-US"/>
        </w:rPr>
        <w:t xml:space="preserve"> offsets</w:t>
      </w:r>
      <w:r w:rsidR="005957D3">
        <w:rPr>
          <w:lang w:val="en-US"/>
        </w:rPr>
        <w:t xml:space="preserve"> at sample frequencies in the 7-24 GHz range</w:t>
      </w:r>
      <w:r w:rsidR="00255CC9">
        <w:rPr>
          <w:lang w:val="en-US"/>
        </w:rPr>
        <w:t xml:space="preserve">. Further study is needed </w:t>
      </w:r>
      <w:r w:rsidR="005957D3">
        <w:rPr>
          <w:lang w:val="en-US"/>
        </w:rPr>
        <w:t>before making firm proposals.</w:t>
      </w:r>
    </w:p>
    <w:p w14:paraId="5BB50CE8" w14:textId="1770FD78" w:rsidR="00EB1E81" w:rsidRDefault="00EB1E81" w:rsidP="00EB1E81">
      <w:pPr>
        <w:pStyle w:val="BodyText"/>
        <w:ind w:left="1985" w:hanging="1409"/>
        <w:rPr>
          <w:lang w:val="en-US"/>
        </w:rPr>
      </w:pPr>
      <w:r>
        <w:rPr>
          <w:b/>
          <w:lang w:val="en-US"/>
        </w:rPr>
        <w:t>Proposal</w:t>
      </w:r>
      <w:r>
        <w:rPr>
          <w:lang w:val="en-US"/>
        </w:rPr>
        <w:t>:</w:t>
      </w:r>
      <w:r>
        <w:rPr>
          <w:lang w:val="en-US"/>
        </w:rPr>
        <w:tab/>
      </w:r>
      <w:r w:rsidR="00C93768">
        <w:rPr>
          <w:lang w:val="en-US"/>
        </w:rPr>
        <w:t>For new future</w:t>
      </w:r>
      <w:r w:rsidR="008D3BD7">
        <w:rPr>
          <w:lang w:val="en-US"/>
        </w:rPr>
        <w:t xml:space="preserve"> Category B</w:t>
      </w:r>
      <w:r w:rsidR="00C93768">
        <w:rPr>
          <w:lang w:val="en-US"/>
        </w:rPr>
        <w:t xml:space="preserve"> limits</w:t>
      </w:r>
      <w:r w:rsidR="008D3BD7">
        <w:rPr>
          <w:lang w:val="en-US"/>
        </w:rPr>
        <w:t xml:space="preserve"> </w:t>
      </w:r>
      <w:r w:rsidR="003D1B38">
        <w:rPr>
          <w:lang w:val="en-US"/>
        </w:rPr>
        <w:t xml:space="preserve">in the </w:t>
      </w:r>
      <w:r w:rsidR="005910AE">
        <w:rPr>
          <w:lang w:val="en-US"/>
        </w:rPr>
        <w:t>6</w:t>
      </w:r>
      <w:r w:rsidR="003D1B38">
        <w:rPr>
          <w:lang w:val="en-US"/>
        </w:rPr>
        <w:t xml:space="preserve"> to 24</w:t>
      </w:r>
      <w:r w:rsidR="005910AE">
        <w:rPr>
          <w:lang w:val="en-US"/>
        </w:rPr>
        <w:t>.25</w:t>
      </w:r>
      <w:r w:rsidR="003D1B38">
        <w:rPr>
          <w:lang w:val="en-US"/>
        </w:rPr>
        <w:t xml:space="preserve"> GHz range, </w:t>
      </w:r>
      <w:r w:rsidR="008D3BD7">
        <w:rPr>
          <w:lang w:val="en-US"/>
        </w:rPr>
        <w:t>it is proposed that the starting</w:t>
      </w:r>
      <w:r w:rsidR="00B232F9">
        <w:rPr>
          <w:lang w:val="en-US"/>
        </w:rPr>
        <w:t xml:space="preserve"> point is the </w:t>
      </w:r>
      <w:r w:rsidR="001B41CE">
        <w:rPr>
          <w:lang w:val="en-US"/>
        </w:rPr>
        <w:t xml:space="preserve">updated </w:t>
      </w:r>
      <w:r w:rsidR="00B232F9">
        <w:rPr>
          <w:lang w:val="en-US"/>
        </w:rPr>
        <w:t>limits</w:t>
      </w:r>
      <w:r w:rsidR="001B41CE">
        <w:rPr>
          <w:lang w:val="en-US"/>
        </w:rPr>
        <w:t xml:space="preserve"> above 24.25 GHz</w:t>
      </w:r>
      <w:r>
        <w:rPr>
          <w:lang w:val="en-US"/>
        </w:rPr>
        <w:t>.</w:t>
      </w:r>
      <w:r w:rsidR="001B41CE">
        <w:rPr>
          <w:lang w:val="en-US"/>
        </w:rPr>
        <w:t xml:space="preserve"> </w:t>
      </w:r>
      <w:r w:rsidR="005910AE">
        <w:rPr>
          <w:lang w:val="en-US"/>
        </w:rPr>
        <w:t>Exactly</w:t>
      </w:r>
      <w:r w:rsidR="001B41CE">
        <w:rPr>
          <w:lang w:val="en-US"/>
        </w:rPr>
        <w:t xml:space="preserve"> how to extend </w:t>
      </w:r>
      <w:r w:rsidR="005910AE">
        <w:rPr>
          <w:lang w:val="en-US"/>
        </w:rPr>
        <w:t>limits</w:t>
      </w:r>
      <w:r w:rsidR="001B41CE">
        <w:rPr>
          <w:lang w:val="en-US"/>
        </w:rPr>
        <w:t xml:space="preserve"> down </w:t>
      </w:r>
      <w:r w:rsidR="005910AE">
        <w:rPr>
          <w:lang w:val="en-US"/>
        </w:rPr>
        <w:t>down towards 6 GHz and what reference bandwidths are possible needs further study.</w:t>
      </w:r>
    </w:p>
    <w:p w14:paraId="2976682B" w14:textId="77777777" w:rsidR="007A6FBF" w:rsidRPr="007A6FBF" w:rsidRDefault="007A6FBF" w:rsidP="007A6FBF">
      <w:pPr>
        <w:pStyle w:val="BodyText"/>
        <w:rPr>
          <w:lang w:val="en-US"/>
        </w:rPr>
      </w:pPr>
    </w:p>
    <w:p w14:paraId="1677C7DF" w14:textId="23F5353E" w:rsidR="00551262" w:rsidRDefault="004B0AD7" w:rsidP="00B445A4">
      <w:pPr>
        <w:pStyle w:val="Heading1"/>
        <w:rPr>
          <w:lang w:val="en-US"/>
        </w:rPr>
      </w:pPr>
      <w:r>
        <w:rPr>
          <w:lang w:val="en-US"/>
        </w:rPr>
        <w:t>Conclusion</w:t>
      </w:r>
      <w:r w:rsidR="006B069D">
        <w:rPr>
          <w:lang w:val="en-US"/>
        </w:rPr>
        <w:t xml:space="preserve"> and proposal</w:t>
      </w:r>
    </w:p>
    <w:p w14:paraId="24375B03" w14:textId="4B4E184E" w:rsidR="00E7423C" w:rsidRDefault="00E7423C" w:rsidP="00896C6F">
      <w:pPr>
        <w:pStyle w:val="BodyText"/>
        <w:rPr>
          <w:lang w:val="en-US"/>
        </w:rPr>
      </w:pPr>
      <w:r>
        <w:rPr>
          <w:lang w:val="en-US"/>
        </w:rPr>
        <w:t>The following was observed:</w:t>
      </w:r>
    </w:p>
    <w:p w14:paraId="6AA1083F" w14:textId="77777777" w:rsidR="00834489" w:rsidRDefault="00834489" w:rsidP="00834489">
      <w:pPr>
        <w:pStyle w:val="BodyText"/>
        <w:ind w:left="1985" w:hanging="1409"/>
        <w:rPr>
          <w:lang w:val="en-US"/>
        </w:rPr>
      </w:pPr>
      <w:r w:rsidRPr="00611BCD">
        <w:rPr>
          <w:b/>
          <w:lang w:val="en-US"/>
        </w:rPr>
        <w:t>Observation 1</w:t>
      </w:r>
      <w:r>
        <w:rPr>
          <w:lang w:val="en-US"/>
        </w:rPr>
        <w:t>:</w:t>
      </w:r>
      <w:r>
        <w:rPr>
          <w:lang w:val="en-US"/>
        </w:rPr>
        <w:tab/>
        <w:t>Presently there are no specific ITU-R limits documented for 7-24 GHz or above – the generic spurious emission limits in recommendations are homogeneous for operation above 1 GHz, except for the variation in the spurious frequency range for measurement, which depends on the fundamental frequency.</w:t>
      </w:r>
    </w:p>
    <w:p w14:paraId="580FF326" w14:textId="77777777" w:rsidR="00834489" w:rsidRDefault="00834489" w:rsidP="00834489">
      <w:pPr>
        <w:pStyle w:val="BodyText"/>
        <w:ind w:left="1985" w:hanging="1409"/>
        <w:rPr>
          <w:lang w:val="en-US"/>
        </w:rPr>
      </w:pPr>
      <w:r w:rsidRPr="00611BCD">
        <w:rPr>
          <w:b/>
          <w:lang w:val="en-US"/>
        </w:rPr>
        <w:t xml:space="preserve">Observation </w:t>
      </w:r>
      <w:r>
        <w:rPr>
          <w:b/>
          <w:lang w:val="en-US"/>
        </w:rPr>
        <w:t>2</w:t>
      </w:r>
      <w:r>
        <w:rPr>
          <w:lang w:val="en-US"/>
        </w:rPr>
        <w:t>:</w:t>
      </w:r>
      <w:r>
        <w:rPr>
          <w:lang w:val="en-US"/>
        </w:rPr>
        <w:tab/>
        <w:t xml:space="preserve">While the European ECC Recommendation 74-01 [5] for spurious emissions now has specific provisions for AAS Base Stations, these do presently not cover the frequency range 6-24.25 GHz. The mobile industry will need to provide input to ECC for a future inclusion of that frequency </w:t>
      </w:r>
      <w:r>
        <w:rPr>
          <w:lang w:val="en-US"/>
        </w:rPr>
        <w:lastRenderedPageBreak/>
        <w:t>range for AAS BS in the recommendation. For non-AAS BS, general Category B limits apply in Europe.</w:t>
      </w:r>
    </w:p>
    <w:p w14:paraId="6D64A817" w14:textId="77777777" w:rsidR="00834489" w:rsidRDefault="00834489" w:rsidP="00834489">
      <w:pPr>
        <w:pStyle w:val="BodyText"/>
        <w:ind w:left="1985" w:hanging="1409"/>
        <w:rPr>
          <w:lang w:val="en-US"/>
        </w:rPr>
      </w:pPr>
      <w:r w:rsidRPr="00611BCD">
        <w:rPr>
          <w:b/>
          <w:lang w:val="en-US"/>
        </w:rPr>
        <w:t xml:space="preserve">Observation </w:t>
      </w:r>
      <w:r>
        <w:rPr>
          <w:b/>
          <w:lang w:val="en-US"/>
        </w:rPr>
        <w:t>3</w:t>
      </w:r>
      <w:r>
        <w:rPr>
          <w:lang w:val="en-US"/>
        </w:rPr>
        <w:t>:</w:t>
      </w:r>
      <w:r>
        <w:rPr>
          <w:lang w:val="en-US"/>
        </w:rPr>
        <w:tab/>
        <w:t>In countries that apply Category A emission limits, there is no other generic unwanted emission limits specified for the 7-24 GHz frequency range.</w:t>
      </w:r>
    </w:p>
    <w:p w14:paraId="0C3B6E83" w14:textId="297A92D7" w:rsidR="00B445A4" w:rsidRDefault="00E7423C" w:rsidP="00896C6F">
      <w:pPr>
        <w:pStyle w:val="BodyText"/>
        <w:rPr>
          <w:lang w:val="en-US"/>
        </w:rPr>
      </w:pPr>
      <w:r>
        <w:rPr>
          <w:lang w:val="en-US"/>
        </w:rPr>
        <w:t xml:space="preserve">In general, </w:t>
      </w:r>
      <w:r w:rsidR="00667841">
        <w:rPr>
          <w:lang w:val="en-US"/>
        </w:rPr>
        <w:t>it the spurious emissions regulation in the frequency range 7-24 G</w:t>
      </w:r>
      <w:r w:rsidR="00984588">
        <w:rPr>
          <w:lang w:val="en-US"/>
        </w:rPr>
        <w:t>H</w:t>
      </w:r>
      <w:r w:rsidR="00667841">
        <w:rPr>
          <w:lang w:val="en-US"/>
        </w:rPr>
        <w:t>z is settled</w:t>
      </w:r>
      <w:r w:rsidR="00984588">
        <w:rPr>
          <w:lang w:val="en-US"/>
        </w:rPr>
        <w:t xml:space="preserve">, with the exception of Category B spurious emissions for AAS BS in Europe. </w:t>
      </w:r>
      <w:r w:rsidR="00FD5D77">
        <w:rPr>
          <w:lang w:val="en-US"/>
        </w:rPr>
        <w:t xml:space="preserve">The following is proposed as a starting point for developing such </w:t>
      </w:r>
      <w:r w:rsidR="002A24D6">
        <w:rPr>
          <w:lang w:val="en-US"/>
        </w:rPr>
        <w:t>limits</w:t>
      </w:r>
      <w:r w:rsidR="00FD5D77">
        <w:rPr>
          <w:lang w:val="en-US"/>
        </w:rPr>
        <w:t>:</w:t>
      </w:r>
    </w:p>
    <w:p w14:paraId="68222884" w14:textId="2B2BA35E" w:rsidR="00FD5D77" w:rsidRDefault="00FD5D77" w:rsidP="00FD5D77">
      <w:pPr>
        <w:pStyle w:val="BodyText"/>
        <w:ind w:left="1985" w:hanging="1409"/>
        <w:rPr>
          <w:lang w:val="en-US"/>
        </w:rPr>
      </w:pPr>
      <w:r>
        <w:rPr>
          <w:b/>
          <w:lang w:val="en-US"/>
        </w:rPr>
        <w:t>Proposal</w:t>
      </w:r>
      <w:r>
        <w:rPr>
          <w:lang w:val="en-US"/>
        </w:rPr>
        <w:t>:</w:t>
      </w:r>
      <w:r>
        <w:rPr>
          <w:lang w:val="en-US"/>
        </w:rPr>
        <w:tab/>
        <w:t xml:space="preserve">For new future Category B limits in the 6 to 24.25 GHz range, it is proposed that the starting point is the updated limits above 24.25 GHz. Exactly how to extend limits down towards 6 GHz and what reference bandwidths </w:t>
      </w:r>
      <w:r w:rsidR="002A24D6">
        <w:rPr>
          <w:lang w:val="en-US"/>
        </w:rPr>
        <w:t xml:space="preserve">that </w:t>
      </w:r>
      <w:r>
        <w:rPr>
          <w:lang w:val="en-US"/>
        </w:rPr>
        <w:t>are possible needs further study.</w:t>
      </w:r>
    </w:p>
    <w:p w14:paraId="4A501F13" w14:textId="77777777" w:rsidR="00FD5D77" w:rsidRPr="00B445A4" w:rsidRDefault="00FD5D77" w:rsidP="00896C6F">
      <w:pPr>
        <w:pStyle w:val="BodyText"/>
        <w:rPr>
          <w:lang w:val="en-US"/>
        </w:rPr>
      </w:pPr>
    </w:p>
    <w:p w14:paraId="5F0B496A" w14:textId="77777777" w:rsidR="00D466E4" w:rsidRPr="009177A5" w:rsidRDefault="00D466E4" w:rsidP="00D466E4">
      <w:pPr>
        <w:pStyle w:val="Heading1"/>
        <w:rPr>
          <w:lang w:val="en-US"/>
        </w:rPr>
      </w:pPr>
      <w:r w:rsidRPr="009177A5">
        <w:rPr>
          <w:lang w:val="en-US"/>
        </w:rPr>
        <w:t>References</w:t>
      </w:r>
    </w:p>
    <w:p w14:paraId="47966064" w14:textId="77777777" w:rsidR="00E01B05" w:rsidRDefault="00F071A0" w:rsidP="00637023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r w:rsidRPr="00E01B05">
        <w:rPr>
          <w:lang w:val="en-US"/>
        </w:rPr>
        <w:t>Recommendation ITU-R SM.329-12 (09/2012), “Unwanted emissions in the spurious domain”.</w:t>
      </w:r>
    </w:p>
    <w:p w14:paraId="75E4C4D7" w14:textId="2792D8DD" w:rsidR="00E01B05" w:rsidRPr="00E01B05" w:rsidRDefault="00F76B30" w:rsidP="00637023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r w:rsidRPr="00E01B05">
        <w:rPr>
          <w:lang w:val="en-US"/>
        </w:rPr>
        <w:t>Recommendation ITU-R SM.328-11</w:t>
      </w:r>
      <w:r w:rsidR="00011C49" w:rsidRPr="00E01B05">
        <w:rPr>
          <w:lang w:val="en-US"/>
        </w:rPr>
        <w:t xml:space="preserve"> (2006), “</w:t>
      </w:r>
      <w:r w:rsidRPr="00E01B05">
        <w:rPr>
          <w:lang w:val="en-US"/>
        </w:rPr>
        <w:t>Spectra and bandwidth of emissions</w:t>
      </w:r>
      <w:r w:rsidR="00011C49" w:rsidRPr="00E01B05">
        <w:rPr>
          <w:lang w:val="en-US"/>
        </w:rPr>
        <w:t>”.</w:t>
      </w:r>
    </w:p>
    <w:p w14:paraId="6CC80945" w14:textId="526ADACD" w:rsidR="001162B3" w:rsidRPr="00530B17" w:rsidRDefault="00165661" w:rsidP="00637023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r w:rsidRPr="00530B17">
        <w:rPr>
          <w:lang w:val="en-US"/>
        </w:rPr>
        <w:t>Recommendation ITU-R M.1580-5 (02/2014), “Generic unwanted emission characteristics of base stations using the terrestrial radio interfaces of IMT-2000”.</w:t>
      </w:r>
    </w:p>
    <w:p w14:paraId="757D031A" w14:textId="77777777" w:rsidR="004932C2" w:rsidRDefault="003F0543" w:rsidP="00637023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r w:rsidRPr="004932C2">
        <w:rPr>
          <w:lang w:val="en-US"/>
        </w:rPr>
        <w:t>Recommendation ITU-R M.2070-1</w:t>
      </w:r>
      <w:r w:rsidR="00CA718B" w:rsidRPr="004932C2">
        <w:rPr>
          <w:lang w:val="en-US"/>
        </w:rPr>
        <w:t xml:space="preserve"> </w:t>
      </w:r>
      <w:r w:rsidRPr="004932C2">
        <w:rPr>
          <w:lang w:val="en-US"/>
        </w:rPr>
        <w:t>(02/2017)</w:t>
      </w:r>
      <w:r w:rsidR="004932C2" w:rsidRPr="004932C2">
        <w:rPr>
          <w:lang w:val="en-US"/>
        </w:rPr>
        <w:t>, “</w:t>
      </w:r>
      <w:r w:rsidRPr="004932C2">
        <w:rPr>
          <w:lang w:val="en-US"/>
        </w:rPr>
        <w:t>Generic unwanted emission characteristic of base stations using the terrestrial radio interfaces of IMT-Advanced</w:t>
      </w:r>
      <w:r w:rsidR="004932C2" w:rsidRPr="004932C2">
        <w:rPr>
          <w:lang w:val="en-US"/>
        </w:rPr>
        <w:t>”.</w:t>
      </w:r>
    </w:p>
    <w:p w14:paraId="63CED43F" w14:textId="566ED8B9" w:rsidR="004E61D7" w:rsidRPr="004932C2" w:rsidRDefault="004E61D7" w:rsidP="00637023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r w:rsidRPr="004932C2">
        <w:rPr>
          <w:lang w:val="en-US"/>
        </w:rPr>
        <w:t>ERC Recommendation 74-01, “Unwanted emissions in the spurious domain” (amended 29 May 2019).</w:t>
      </w:r>
    </w:p>
    <w:p w14:paraId="01BBAC85" w14:textId="77777777" w:rsidR="00E01B05" w:rsidRDefault="00406A65" w:rsidP="00637023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r w:rsidRPr="00E01B05">
        <w:rPr>
          <w:lang w:val="en-US"/>
        </w:rPr>
        <w:t>ECC Recommendation (02)05, “Unwanted emissions” (Amended 30 March 2012).</w:t>
      </w:r>
    </w:p>
    <w:p w14:paraId="0CE99C0B" w14:textId="49B1AB78" w:rsidR="004E61D7" w:rsidRPr="00C6340D" w:rsidRDefault="00E778CE" w:rsidP="00637023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r w:rsidRPr="00E778CE">
        <w:rPr>
          <w:lang w:val="en-US"/>
        </w:rPr>
        <w:t xml:space="preserve">R4-1906324, "Outcome of ECC SE21#105 on Category B spurious </w:t>
      </w:r>
      <w:r w:rsidRPr="00C6340D">
        <w:rPr>
          <w:lang w:val="en-US"/>
        </w:rPr>
        <w:t>emissions in ERC Recommendation 74-01" (Ericsson, Nokia, Intel, Samsung).</w:t>
      </w:r>
    </w:p>
    <w:p w14:paraId="28BFF0A1" w14:textId="7D2AD23E" w:rsidR="00896C6F" w:rsidRDefault="00C6340D" w:rsidP="006D55D7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r w:rsidRPr="00C6340D">
        <w:rPr>
          <w:lang w:val="en-US"/>
        </w:rPr>
        <w:t>R4-1908053, "Filtering for 10 GHz and 15 GHz example frequencies in 7-24 GHz" (Ericsson).</w:t>
      </w:r>
    </w:p>
    <w:p w14:paraId="6ED09180" w14:textId="77777777" w:rsidR="006D55D7" w:rsidRPr="006D55D7" w:rsidRDefault="006D55D7" w:rsidP="006D55D7">
      <w:pPr>
        <w:pStyle w:val="EX"/>
        <w:overflowPunct w:val="0"/>
        <w:autoSpaceDE w:val="0"/>
        <w:autoSpaceDN w:val="0"/>
        <w:adjustRightInd w:val="0"/>
        <w:ind w:left="0" w:firstLine="0"/>
        <w:textAlignment w:val="baseline"/>
        <w:rPr>
          <w:lang w:val="en-US"/>
        </w:rPr>
      </w:pPr>
    </w:p>
    <w:p w14:paraId="667F1678" w14:textId="77777777" w:rsidR="00D466E4" w:rsidRPr="009177A5" w:rsidRDefault="00D466E4">
      <w:pPr>
        <w:rPr>
          <w:rFonts w:ascii="Arial" w:hAnsi="Arial" w:cs="Arial"/>
          <w:lang w:val="en-US"/>
        </w:rPr>
      </w:pPr>
    </w:p>
    <w:sectPr w:rsidR="00D466E4" w:rsidRPr="009177A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98027" w14:textId="77777777" w:rsidR="0057334B" w:rsidRDefault="0057334B">
      <w:r>
        <w:separator/>
      </w:r>
    </w:p>
  </w:endnote>
  <w:endnote w:type="continuationSeparator" w:id="0">
    <w:p w14:paraId="1837614A" w14:textId="77777777" w:rsidR="0057334B" w:rsidRDefault="00573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FC853" w14:textId="77777777" w:rsidR="0057334B" w:rsidRDefault="0057334B">
      <w:r>
        <w:separator/>
      </w:r>
    </w:p>
  </w:footnote>
  <w:footnote w:type="continuationSeparator" w:id="0">
    <w:p w14:paraId="628C7B8C" w14:textId="77777777" w:rsidR="0057334B" w:rsidRDefault="00573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3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EB60DA0"/>
    <w:multiLevelType w:val="hybridMultilevel"/>
    <w:tmpl w:val="E6FE483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9"/>
  </w:num>
  <w:num w:numId="3">
    <w:abstractNumId w:val="7"/>
  </w:num>
  <w:num w:numId="4">
    <w:abstractNumId w:val="13"/>
  </w:num>
  <w:num w:numId="5">
    <w:abstractNumId w:val="11"/>
  </w:num>
  <w:num w:numId="6">
    <w:abstractNumId w:val="15"/>
  </w:num>
  <w:num w:numId="7">
    <w:abstractNumId w:val="1"/>
  </w:num>
  <w:num w:numId="8">
    <w:abstractNumId w:val="0"/>
  </w:num>
  <w:num w:numId="9">
    <w:abstractNumId w:val="10"/>
  </w:num>
  <w:num w:numId="10">
    <w:abstractNumId w:val="4"/>
  </w:num>
  <w:num w:numId="11">
    <w:abstractNumId w:val="6"/>
  </w:num>
  <w:num w:numId="12">
    <w:abstractNumId w:val="3"/>
  </w:num>
  <w:num w:numId="13">
    <w:abstractNumId w:val="8"/>
  </w:num>
  <w:num w:numId="14">
    <w:abstractNumId w:val="2"/>
  </w:num>
  <w:num w:numId="15">
    <w:abstractNumId w:val="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6410"/>
    <w:rsid w:val="00011776"/>
    <w:rsid w:val="00011C49"/>
    <w:rsid w:val="00012560"/>
    <w:rsid w:val="00016CA3"/>
    <w:rsid w:val="00022B48"/>
    <w:rsid w:val="000237F0"/>
    <w:rsid w:val="00037BA8"/>
    <w:rsid w:val="00047F45"/>
    <w:rsid w:val="00055AE7"/>
    <w:rsid w:val="0006072E"/>
    <w:rsid w:val="00063B5C"/>
    <w:rsid w:val="00067B1B"/>
    <w:rsid w:val="00071C4F"/>
    <w:rsid w:val="000A5706"/>
    <w:rsid w:val="000C279C"/>
    <w:rsid w:val="000C5F61"/>
    <w:rsid w:val="000E5D87"/>
    <w:rsid w:val="000F1261"/>
    <w:rsid w:val="000F41F1"/>
    <w:rsid w:val="000F6CBA"/>
    <w:rsid w:val="000F7F74"/>
    <w:rsid w:val="0010279D"/>
    <w:rsid w:val="00107C03"/>
    <w:rsid w:val="00113182"/>
    <w:rsid w:val="001162B3"/>
    <w:rsid w:val="001168CC"/>
    <w:rsid w:val="001238DB"/>
    <w:rsid w:val="00124AB3"/>
    <w:rsid w:val="001260A0"/>
    <w:rsid w:val="00133B5A"/>
    <w:rsid w:val="00134CFA"/>
    <w:rsid w:val="001357BA"/>
    <w:rsid w:val="00163220"/>
    <w:rsid w:val="001638B9"/>
    <w:rsid w:val="00165661"/>
    <w:rsid w:val="00166C84"/>
    <w:rsid w:val="00166D2E"/>
    <w:rsid w:val="00174101"/>
    <w:rsid w:val="00181686"/>
    <w:rsid w:val="00186510"/>
    <w:rsid w:val="00187095"/>
    <w:rsid w:val="001909A3"/>
    <w:rsid w:val="001A0944"/>
    <w:rsid w:val="001A68E1"/>
    <w:rsid w:val="001B0782"/>
    <w:rsid w:val="001B2B7D"/>
    <w:rsid w:val="001B41CE"/>
    <w:rsid w:val="001C758F"/>
    <w:rsid w:val="001D46A7"/>
    <w:rsid w:val="001D64B1"/>
    <w:rsid w:val="001E510E"/>
    <w:rsid w:val="001E7A9E"/>
    <w:rsid w:val="001F0C3F"/>
    <w:rsid w:val="00202A5A"/>
    <w:rsid w:val="00205FAC"/>
    <w:rsid w:val="0021189D"/>
    <w:rsid w:val="00237340"/>
    <w:rsid w:val="002374EE"/>
    <w:rsid w:val="002415A6"/>
    <w:rsid w:val="002450A1"/>
    <w:rsid w:val="00246998"/>
    <w:rsid w:val="00254E2D"/>
    <w:rsid w:val="00255CC9"/>
    <w:rsid w:val="00270897"/>
    <w:rsid w:val="00272990"/>
    <w:rsid w:val="00277FC8"/>
    <w:rsid w:val="00281DE1"/>
    <w:rsid w:val="00290443"/>
    <w:rsid w:val="00294CF5"/>
    <w:rsid w:val="002A0A94"/>
    <w:rsid w:val="002A118B"/>
    <w:rsid w:val="002A24D6"/>
    <w:rsid w:val="002A4267"/>
    <w:rsid w:val="002B25BE"/>
    <w:rsid w:val="002B6B5E"/>
    <w:rsid w:val="002C233C"/>
    <w:rsid w:val="002C6E2B"/>
    <w:rsid w:val="002C781B"/>
    <w:rsid w:val="002D2D54"/>
    <w:rsid w:val="002E3E1A"/>
    <w:rsid w:val="002E5C17"/>
    <w:rsid w:val="002F0EDE"/>
    <w:rsid w:val="002F612D"/>
    <w:rsid w:val="00304E78"/>
    <w:rsid w:val="00306ED0"/>
    <w:rsid w:val="00314711"/>
    <w:rsid w:val="00314EDE"/>
    <w:rsid w:val="00320346"/>
    <w:rsid w:val="00326A41"/>
    <w:rsid w:val="003271A7"/>
    <w:rsid w:val="00332075"/>
    <w:rsid w:val="00332A18"/>
    <w:rsid w:val="00340C03"/>
    <w:rsid w:val="00345BFE"/>
    <w:rsid w:val="00347B9D"/>
    <w:rsid w:val="003530BE"/>
    <w:rsid w:val="003572D9"/>
    <w:rsid w:val="00366695"/>
    <w:rsid w:val="003673C9"/>
    <w:rsid w:val="003710C4"/>
    <w:rsid w:val="003739C5"/>
    <w:rsid w:val="00376953"/>
    <w:rsid w:val="00377E84"/>
    <w:rsid w:val="00390BBB"/>
    <w:rsid w:val="00397389"/>
    <w:rsid w:val="003B48F2"/>
    <w:rsid w:val="003B5D8D"/>
    <w:rsid w:val="003B70C1"/>
    <w:rsid w:val="003C0934"/>
    <w:rsid w:val="003C3F82"/>
    <w:rsid w:val="003C6850"/>
    <w:rsid w:val="003D1B38"/>
    <w:rsid w:val="003D3111"/>
    <w:rsid w:val="003F0543"/>
    <w:rsid w:val="00400B57"/>
    <w:rsid w:val="004017E5"/>
    <w:rsid w:val="00401B6B"/>
    <w:rsid w:val="00401EF9"/>
    <w:rsid w:val="00403226"/>
    <w:rsid w:val="00403B74"/>
    <w:rsid w:val="00404509"/>
    <w:rsid w:val="00404A66"/>
    <w:rsid w:val="00405C7C"/>
    <w:rsid w:val="00406A65"/>
    <w:rsid w:val="00411B24"/>
    <w:rsid w:val="00425637"/>
    <w:rsid w:val="00430CA0"/>
    <w:rsid w:val="00431D7D"/>
    <w:rsid w:val="0043565D"/>
    <w:rsid w:val="0044598B"/>
    <w:rsid w:val="0044655B"/>
    <w:rsid w:val="0045630F"/>
    <w:rsid w:val="004672AB"/>
    <w:rsid w:val="004679CF"/>
    <w:rsid w:val="00471D3B"/>
    <w:rsid w:val="0047257A"/>
    <w:rsid w:val="00476FC0"/>
    <w:rsid w:val="00480B55"/>
    <w:rsid w:val="004908D8"/>
    <w:rsid w:val="004926AD"/>
    <w:rsid w:val="004932C2"/>
    <w:rsid w:val="00494158"/>
    <w:rsid w:val="00494B09"/>
    <w:rsid w:val="00496500"/>
    <w:rsid w:val="004A0574"/>
    <w:rsid w:val="004A1F0E"/>
    <w:rsid w:val="004A31C5"/>
    <w:rsid w:val="004A5351"/>
    <w:rsid w:val="004A71C1"/>
    <w:rsid w:val="004B0AD7"/>
    <w:rsid w:val="004D2914"/>
    <w:rsid w:val="004D48EC"/>
    <w:rsid w:val="004E6006"/>
    <w:rsid w:val="004E61D7"/>
    <w:rsid w:val="004E7B50"/>
    <w:rsid w:val="004E7FF4"/>
    <w:rsid w:val="004F0707"/>
    <w:rsid w:val="004F7418"/>
    <w:rsid w:val="0050102F"/>
    <w:rsid w:val="00502A40"/>
    <w:rsid w:val="0052219E"/>
    <w:rsid w:val="00524C96"/>
    <w:rsid w:val="00530B17"/>
    <w:rsid w:val="005316F6"/>
    <w:rsid w:val="00544C70"/>
    <w:rsid w:val="00545B40"/>
    <w:rsid w:val="005474F0"/>
    <w:rsid w:val="00551262"/>
    <w:rsid w:val="00551C0A"/>
    <w:rsid w:val="00552900"/>
    <w:rsid w:val="00571FDC"/>
    <w:rsid w:val="0057334B"/>
    <w:rsid w:val="00577687"/>
    <w:rsid w:val="00580C39"/>
    <w:rsid w:val="00583594"/>
    <w:rsid w:val="00586410"/>
    <w:rsid w:val="005910AE"/>
    <w:rsid w:val="00592364"/>
    <w:rsid w:val="005957D3"/>
    <w:rsid w:val="00597123"/>
    <w:rsid w:val="00597713"/>
    <w:rsid w:val="005A067C"/>
    <w:rsid w:val="005A6088"/>
    <w:rsid w:val="005A6757"/>
    <w:rsid w:val="005A7A0B"/>
    <w:rsid w:val="005B2705"/>
    <w:rsid w:val="005C01CC"/>
    <w:rsid w:val="005D1D6A"/>
    <w:rsid w:val="005D2A94"/>
    <w:rsid w:val="005D3409"/>
    <w:rsid w:val="005D4474"/>
    <w:rsid w:val="005E24CC"/>
    <w:rsid w:val="005E70DF"/>
    <w:rsid w:val="005E792F"/>
    <w:rsid w:val="005F0B32"/>
    <w:rsid w:val="005F1E16"/>
    <w:rsid w:val="005F78C7"/>
    <w:rsid w:val="006011A8"/>
    <w:rsid w:val="00603039"/>
    <w:rsid w:val="006112E8"/>
    <w:rsid w:val="00611BCD"/>
    <w:rsid w:val="006137E3"/>
    <w:rsid w:val="00617A60"/>
    <w:rsid w:val="0062237B"/>
    <w:rsid w:val="00625BED"/>
    <w:rsid w:val="00626F96"/>
    <w:rsid w:val="00627220"/>
    <w:rsid w:val="00630A71"/>
    <w:rsid w:val="0063150A"/>
    <w:rsid w:val="00637023"/>
    <w:rsid w:val="00640BE4"/>
    <w:rsid w:val="006424D8"/>
    <w:rsid w:val="006521DF"/>
    <w:rsid w:val="00652F2A"/>
    <w:rsid w:val="006539BE"/>
    <w:rsid w:val="006577E0"/>
    <w:rsid w:val="00662679"/>
    <w:rsid w:val="006648A7"/>
    <w:rsid w:val="00666410"/>
    <w:rsid w:val="00667841"/>
    <w:rsid w:val="0067141B"/>
    <w:rsid w:val="00673215"/>
    <w:rsid w:val="00674F79"/>
    <w:rsid w:val="00680483"/>
    <w:rsid w:val="00683950"/>
    <w:rsid w:val="00685BF9"/>
    <w:rsid w:val="00686808"/>
    <w:rsid w:val="006926E0"/>
    <w:rsid w:val="006957E6"/>
    <w:rsid w:val="006A7D78"/>
    <w:rsid w:val="006B069D"/>
    <w:rsid w:val="006B0700"/>
    <w:rsid w:val="006B3AC0"/>
    <w:rsid w:val="006C543A"/>
    <w:rsid w:val="006D1494"/>
    <w:rsid w:val="006D55D7"/>
    <w:rsid w:val="006D6C66"/>
    <w:rsid w:val="006F3C5F"/>
    <w:rsid w:val="00701224"/>
    <w:rsid w:val="0070201D"/>
    <w:rsid w:val="007040C4"/>
    <w:rsid w:val="00704E94"/>
    <w:rsid w:val="007061AB"/>
    <w:rsid w:val="007079CD"/>
    <w:rsid w:val="00714C76"/>
    <w:rsid w:val="007155EC"/>
    <w:rsid w:val="00720D95"/>
    <w:rsid w:val="00721E37"/>
    <w:rsid w:val="007349DE"/>
    <w:rsid w:val="00737B89"/>
    <w:rsid w:val="007431A6"/>
    <w:rsid w:val="007467A5"/>
    <w:rsid w:val="0074776E"/>
    <w:rsid w:val="007554CE"/>
    <w:rsid w:val="00763448"/>
    <w:rsid w:val="0076687C"/>
    <w:rsid w:val="007676C2"/>
    <w:rsid w:val="007743A7"/>
    <w:rsid w:val="00781465"/>
    <w:rsid w:val="0079422A"/>
    <w:rsid w:val="007A3D20"/>
    <w:rsid w:val="007A6FBF"/>
    <w:rsid w:val="007D704C"/>
    <w:rsid w:val="007E1B06"/>
    <w:rsid w:val="007F1BE7"/>
    <w:rsid w:val="007F2151"/>
    <w:rsid w:val="008125D8"/>
    <w:rsid w:val="00812D2F"/>
    <w:rsid w:val="00813593"/>
    <w:rsid w:val="008143CD"/>
    <w:rsid w:val="00825FCC"/>
    <w:rsid w:val="00831ABB"/>
    <w:rsid w:val="00833972"/>
    <w:rsid w:val="00834489"/>
    <w:rsid w:val="00836B80"/>
    <w:rsid w:val="00840F8A"/>
    <w:rsid w:val="00846FAF"/>
    <w:rsid w:val="00855BA1"/>
    <w:rsid w:val="008603A7"/>
    <w:rsid w:val="00863AA8"/>
    <w:rsid w:val="0086504D"/>
    <w:rsid w:val="00873A66"/>
    <w:rsid w:val="008743E1"/>
    <w:rsid w:val="008755EB"/>
    <w:rsid w:val="00876057"/>
    <w:rsid w:val="00880030"/>
    <w:rsid w:val="00884688"/>
    <w:rsid w:val="00893082"/>
    <w:rsid w:val="00896C6F"/>
    <w:rsid w:val="008978E5"/>
    <w:rsid w:val="008B6A5C"/>
    <w:rsid w:val="008C48BA"/>
    <w:rsid w:val="008C7085"/>
    <w:rsid w:val="008C78B4"/>
    <w:rsid w:val="008D3BD7"/>
    <w:rsid w:val="008D63F9"/>
    <w:rsid w:val="008D7F5B"/>
    <w:rsid w:val="008F5E1F"/>
    <w:rsid w:val="00900C64"/>
    <w:rsid w:val="009029E4"/>
    <w:rsid w:val="009062D0"/>
    <w:rsid w:val="0091243D"/>
    <w:rsid w:val="00912F23"/>
    <w:rsid w:val="00913C0F"/>
    <w:rsid w:val="009168ED"/>
    <w:rsid w:val="009177A5"/>
    <w:rsid w:val="00923CDF"/>
    <w:rsid w:val="00924147"/>
    <w:rsid w:val="009259D0"/>
    <w:rsid w:val="00926E5B"/>
    <w:rsid w:val="00937888"/>
    <w:rsid w:val="00937D9C"/>
    <w:rsid w:val="009467F0"/>
    <w:rsid w:val="009477B5"/>
    <w:rsid w:val="009536A8"/>
    <w:rsid w:val="009538CB"/>
    <w:rsid w:val="00953F92"/>
    <w:rsid w:val="00954A47"/>
    <w:rsid w:val="00956B2E"/>
    <w:rsid w:val="00957486"/>
    <w:rsid w:val="00970462"/>
    <w:rsid w:val="00971586"/>
    <w:rsid w:val="00971EA8"/>
    <w:rsid w:val="00983238"/>
    <w:rsid w:val="00984588"/>
    <w:rsid w:val="00990790"/>
    <w:rsid w:val="009972FA"/>
    <w:rsid w:val="00997310"/>
    <w:rsid w:val="009A4E07"/>
    <w:rsid w:val="009B23CB"/>
    <w:rsid w:val="009B27AA"/>
    <w:rsid w:val="009B6905"/>
    <w:rsid w:val="009C1154"/>
    <w:rsid w:val="009C1D1E"/>
    <w:rsid w:val="009C35E9"/>
    <w:rsid w:val="009F7379"/>
    <w:rsid w:val="00A02A2D"/>
    <w:rsid w:val="00A1618C"/>
    <w:rsid w:val="00A162AE"/>
    <w:rsid w:val="00A206D0"/>
    <w:rsid w:val="00A21076"/>
    <w:rsid w:val="00A33848"/>
    <w:rsid w:val="00A34A80"/>
    <w:rsid w:val="00A45831"/>
    <w:rsid w:val="00A475F1"/>
    <w:rsid w:val="00A603D8"/>
    <w:rsid w:val="00A6681C"/>
    <w:rsid w:val="00A70759"/>
    <w:rsid w:val="00A71393"/>
    <w:rsid w:val="00A74397"/>
    <w:rsid w:val="00A8011A"/>
    <w:rsid w:val="00A91279"/>
    <w:rsid w:val="00A93D93"/>
    <w:rsid w:val="00A96089"/>
    <w:rsid w:val="00AA7E70"/>
    <w:rsid w:val="00AB1CBA"/>
    <w:rsid w:val="00AB2BE1"/>
    <w:rsid w:val="00AB4C64"/>
    <w:rsid w:val="00AB4CE0"/>
    <w:rsid w:val="00AD1AC8"/>
    <w:rsid w:val="00AE060D"/>
    <w:rsid w:val="00AE166A"/>
    <w:rsid w:val="00AE298E"/>
    <w:rsid w:val="00AE5ADD"/>
    <w:rsid w:val="00AE5ECE"/>
    <w:rsid w:val="00AF0ACE"/>
    <w:rsid w:val="00AF1D15"/>
    <w:rsid w:val="00AF5CC5"/>
    <w:rsid w:val="00B0059F"/>
    <w:rsid w:val="00B15BF9"/>
    <w:rsid w:val="00B228D3"/>
    <w:rsid w:val="00B232F9"/>
    <w:rsid w:val="00B241D5"/>
    <w:rsid w:val="00B340C5"/>
    <w:rsid w:val="00B35F9C"/>
    <w:rsid w:val="00B4315B"/>
    <w:rsid w:val="00B445A4"/>
    <w:rsid w:val="00B44BB0"/>
    <w:rsid w:val="00B520BA"/>
    <w:rsid w:val="00B534A7"/>
    <w:rsid w:val="00B53AD8"/>
    <w:rsid w:val="00B53F1C"/>
    <w:rsid w:val="00B67A94"/>
    <w:rsid w:val="00B73A1E"/>
    <w:rsid w:val="00B75EC3"/>
    <w:rsid w:val="00B77155"/>
    <w:rsid w:val="00B801AF"/>
    <w:rsid w:val="00B80476"/>
    <w:rsid w:val="00BB5E63"/>
    <w:rsid w:val="00BB7634"/>
    <w:rsid w:val="00BC53DB"/>
    <w:rsid w:val="00BD3C25"/>
    <w:rsid w:val="00BE14ED"/>
    <w:rsid w:val="00BE340F"/>
    <w:rsid w:val="00BE442A"/>
    <w:rsid w:val="00BF1F70"/>
    <w:rsid w:val="00BF4694"/>
    <w:rsid w:val="00C03125"/>
    <w:rsid w:val="00C146B8"/>
    <w:rsid w:val="00C1639A"/>
    <w:rsid w:val="00C1649F"/>
    <w:rsid w:val="00C2721F"/>
    <w:rsid w:val="00C362F1"/>
    <w:rsid w:val="00C37A1B"/>
    <w:rsid w:val="00C431BE"/>
    <w:rsid w:val="00C46751"/>
    <w:rsid w:val="00C46E81"/>
    <w:rsid w:val="00C5182B"/>
    <w:rsid w:val="00C546A8"/>
    <w:rsid w:val="00C5660D"/>
    <w:rsid w:val="00C61108"/>
    <w:rsid w:val="00C617CE"/>
    <w:rsid w:val="00C61C74"/>
    <w:rsid w:val="00C6340D"/>
    <w:rsid w:val="00C64C3A"/>
    <w:rsid w:val="00C72E5B"/>
    <w:rsid w:val="00C81023"/>
    <w:rsid w:val="00C86CEF"/>
    <w:rsid w:val="00C93768"/>
    <w:rsid w:val="00C93AC6"/>
    <w:rsid w:val="00CA17CD"/>
    <w:rsid w:val="00CA243A"/>
    <w:rsid w:val="00CA38E7"/>
    <w:rsid w:val="00CA6EBE"/>
    <w:rsid w:val="00CA718B"/>
    <w:rsid w:val="00CB2B9F"/>
    <w:rsid w:val="00CB6253"/>
    <w:rsid w:val="00CB670F"/>
    <w:rsid w:val="00CB751D"/>
    <w:rsid w:val="00CC00BD"/>
    <w:rsid w:val="00CC01E7"/>
    <w:rsid w:val="00CC2D83"/>
    <w:rsid w:val="00CC4303"/>
    <w:rsid w:val="00CC73F5"/>
    <w:rsid w:val="00CD5AB3"/>
    <w:rsid w:val="00CE0547"/>
    <w:rsid w:val="00CE562F"/>
    <w:rsid w:val="00CE5BBA"/>
    <w:rsid w:val="00CF4F27"/>
    <w:rsid w:val="00CF50BE"/>
    <w:rsid w:val="00CF75E9"/>
    <w:rsid w:val="00D06D85"/>
    <w:rsid w:val="00D11235"/>
    <w:rsid w:val="00D1361C"/>
    <w:rsid w:val="00D13B15"/>
    <w:rsid w:val="00D14F22"/>
    <w:rsid w:val="00D16EC3"/>
    <w:rsid w:val="00D1712C"/>
    <w:rsid w:val="00D175BE"/>
    <w:rsid w:val="00D2274A"/>
    <w:rsid w:val="00D23C5E"/>
    <w:rsid w:val="00D26B71"/>
    <w:rsid w:val="00D35BB8"/>
    <w:rsid w:val="00D40801"/>
    <w:rsid w:val="00D44825"/>
    <w:rsid w:val="00D466E4"/>
    <w:rsid w:val="00D534DA"/>
    <w:rsid w:val="00D566B8"/>
    <w:rsid w:val="00D6268F"/>
    <w:rsid w:val="00D62E89"/>
    <w:rsid w:val="00D6408E"/>
    <w:rsid w:val="00D646C0"/>
    <w:rsid w:val="00D8048C"/>
    <w:rsid w:val="00D87CC2"/>
    <w:rsid w:val="00D92470"/>
    <w:rsid w:val="00DB56A2"/>
    <w:rsid w:val="00DC0332"/>
    <w:rsid w:val="00DC0E1D"/>
    <w:rsid w:val="00DC23D4"/>
    <w:rsid w:val="00DC2851"/>
    <w:rsid w:val="00DC392E"/>
    <w:rsid w:val="00DD2AE9"/>
    <w:rsid w:val="00DD6B9A"/>
    <w:rsid w:val="00DF1B9B"/>
    <w:rsid w:val="00DF1F60"/>
    <w:rsid w:val="00E00A05"/>
    <w:rsid w:val="00E01B05"/>
    <w:rsid w:val="00E12CF3"/>
    <w:rsid w:val="00E20093"/>
    <w:rsid w:val="00E20D32"/>
    <w:rsid w:val="00E25574"/>
    <w:rsid w:val="00E3102E"/>
    <w:rsid w:val="00E317C8"/>
    <w:rsid w:val="00E34C99"/>
    <w:rsid w:val="00E465C0"/>
    <w:rsid w:val="00E5091B"/>
    <w:rsid w:val="00E52110"/>
    <w:rsid w:val="00E5213B"/>
    <w:rsid w:val="00E523AA"/>
    <w:rsid w:val="00E64966"/>
    <w:rsid w:val="00E64A60"/>
    <w:rsid w:val="00E65329"/>
    <w:rsid w:val="00E71A1A"/>
    <w:rsid w:val="00E7423C"/>
    <w:rsid w:val="00E76726"/>
    <w:rsid w:val="00E76B7C"/>
    <w:rsid w:val="00E778CE"/>
    <w:rsid w:val="00E805DC"/>
    <w:rsid w:val="00E85053"/>
    <w:rsid w:val="00E85F90"/>
    <w:rsid w:val="00E91AA4"/>
    <w:rsid w:val="00E9449A"/>
    <w:rsid w:val="00E96D3A"/>
    <w:rsid w:val="00EB1E81"/>
    <w:rsid w:val="00EB2AC9"/>
    <w:rsid w:val="00EB4101"/>
    <w:rsid w:val="00EB49F9"/>
    <w:rsid w:val="00EB7A47"/>
    <w:rsid w:val="00EC4C8B"/>
    <w:rsid w:val="00EC4D40"/>
    <w:rsid w:val="00ED38E0"/>
    <w:rsid w:val="00ED57E7"/>
    <w:rsid w:val="00ED5EC6"/>
    <w:rsid w:val="00EE32C0"/>
    <w:rsid w:val="00EF0B83"/>
    <w:rsid w:val="00EF0BC3"/>
    <w:rsid w:val="00EF2017"/>
    <w:rsid w:val="00EF4263"/>
    <w:rsid w:val="00F00133"/>
    <w:rsid w:val="00F030E8"/>
    <w:rsid w:val="00F0336F"/>
    <w:rsid w:val="00F05C03"/>
    <w:rsid w:val="00F06C5C"/>
    <w:rsid w:val="00F071A0"/>
    <w:rsid w:val="00F10021"/>
    <w:rsid w:val="00F10B2B"/>
    <w:rsid w:val="00F11F98"/>
    <w:rsid w:val="00F32056"/>
    <w:rsid w:val="00F3592A"/>
    <w:rsid w:val="00F51A48"/>
    <w:rsid w:val="00F56778"/>
    <w:rsid w:val="00F572EE"/>
    <w:rsid w:val="00F6148F"/>
    <w:rsid w:val="00F6291E"/>
    <w:rsid w:val="00F645EE"/>
    <w:rsid w:val="00F660AB"/>
    <w:rsid w:val="00F666AB"/>
    <w:rsid w:val="00F7616A"/>
    <w:rsid w:val="00F76B30"/>
    <w:rsid w:val="00F8357F"/>
    <w:rsid w:val="00F910FB"/>
    <w:rsid w:val="00F92094"/>
    <w:rsid w:val="00FA0E83"/>
    <w:rsid w:val="00FB43BF"/>
    <w:rsid w:val="00FC65AC"/>
    <w:rsid w:val="00FD2D4A"/>
    <w:rsid w:val="00FD305D"/>
    <w:rsid w:val="00FD5D77"/>
    <w:rsid w:val="00FE6280"/>
    <w:rsid w:val="00FE6B9D"/>
    <w:rsid w:val="00FF3119"/>
    <w:rsid w:val="00FF5A5B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9C9DA-A3D1-4448-A745-E2DDF4FED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5653</TotalTime>
  <Pages>4</Pages>
  <Words>1763</Words>
  <Characters>9349</Characters>
  <Application>Microsoft Office Word</Application>
  <DocSecurity>0</DocSecurity>
  <Lines>77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Johan Sköld</cp:lastModifiedBy>
  <cp:revision>215</cp:revision>
  <cp:lastPrinted>2001-04-23T09:30:00Z</cp:lastPrinted>
  <dcterms:created xsi:type="dcterms:W3CDTF">2019-02-11T12:00:00Z</dcterms:created>
  <dcterms:modified xsi:type="dcterms:W3CDTF">2019-08-16T21:49:00Z</dcterms:modified>
</cp:coreProperties>
</file>